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C9" w:rsidRPr="00712987" w:rsidRDefault="008917C9" w:rsidP="00891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tr-TR"/>
        </w:rPr>
        <w:t xml:space="preserve">Gıda, Tarım ve Hayvancılık </w:t>
      </w:r>
      <w:r w:rsidRPr="00712987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Bakanlığından:</w:t>
      </w:r>
    </w:p>
    <w:p w:rsidR="0098713A" w:rsidRPr="00712987" w:rsidRDefault="0098713A" w:rsidP="00987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713A" w:rsidRPr="00712987" w:rsidRDefault="0098713A" w:rsidP="0098713A">
      <w:pPr>
        <w:shd w:val="clear" w:color="auto" w:fill="FFFFFF"/>
        <w:spacing w:after="0" w:line="3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GIDA KODEKSİ BUZLU ÜRÜNLER TEBLİĞİ</w:t>
      </w:r>
    </w:p>
    <w:p w:rsidR="00AB6F3D" w:rsidRDefault="0098713A" w:rsidP="00AB6F3D">
      <w:pPr>
        <w:shd w:val="clear" w:color="auto" w:fill="FFFFFF"/>
        <w:spacing w:after="0" w:line="3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8917C9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Taslak 2017</w:t>
      </w:r>
      <w:r w:rsidR="0079520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</w:t>
      </w:r>
      <w:proofErr w:type="gramStart"/>
      <w:r w:rsidR="0079520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….</w:t>
      </w:r>
      <w:proofErr w:type="gramEnd"/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:rsidR="00896F30" w:rsidRDefault="00896F30" w:rsidP="00AB6F3D">
      <w:pPr>
        <w:shd w:val="clear" w:color="auto" w:fill="FFFFFF"/>
        <w:spacing w:after="0" w:line="30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F30" w:rsidRPr="00896F30" w:rsidRDefault="00896F30" w:rsidP="0089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96F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BİRİNCİ BÖLÜM</w:t>
      </w:r>
    </w:p>
    <w:p w:rsidR="00896F30" w:rsidRPr="00896F30" w:rsidRDefault="00896F30" w:rsidP="00896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F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Amaç, Kapsam, Dayanak ve Tanımlar</w:t>
      </w:r>
    </w:p>
    <w:p w:rsidR="0098713A" w:rsidRPr="00712987" w:rsidRDefault="00AB6F3D" w:rsidP="00896F30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AB6F3D" w:rsidRPr="00712987" w:rsidRDefault="00922FBE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737476" w:rsidRPr="00A073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</w:t>
      </w:r>
      <w:r w:rsidR="0073747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Tebliğin amacı, buzlu ürünlerin tekniğine uygun ve </w:t>
      </w:r>
      <w:proofErr w:type="gramStart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hijyenik</w:t>
      </w:r>
      <w:proofErr w:type="gramEnd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şekilde </w:t>
      </w:r>
      <w:r w:rsidR="0073747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üretilmesi, taşınması, depolanması ve piyasaya arz edilmesi</w:t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73747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sağlamak üzere özelliklerini belirlemektir.</w:t>
      </w:r>
    </w:p>
    <w:p w:rsidR="00AB6F3D" w:rsidRPr="00712987" w:rsidRDefault="00AB6F3D" w:rsidP="00AB6F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AB6F3D" w:rsidRPr="00712987" w:rsidRDefault="00AB6F3D" w:rsidP="00AB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922FBE"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="00922FBE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 Tebliğ buzlu ürünleri kapsar.</w:t>
      </w:r>
    </w:p>
    <w:p w:rsidR="0098713A" w:rsidRPr="00712987" w:rsidRDefault="00AB6F3D" w:rsidP="00AB6F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22FBE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ayanak</w:t>
      </w:r>
    </w:p>
    <w:p w:rsidR="00AB6F3D" w:rsidRPr="00712987" w:rsidRDefault="00922FBE" w:rsidP="00AB6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671AA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A07393">
        <w:rPr>
          <w:rFonts w:ascii="Times New Roman" w:hAnsi="Times New Roman" w:cs="Times New Roman"/>
          <w:bCs/>
          <w:sz w:val="24"/>
          <w:szCs w:val="24"/>
        </w:rPr>
        <w:t>(1)</w:t>
      </w:r>
      <w:r w:rsidRPr="00712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987">
        <w:rPr>
          <w:rFonts w:ascii="Times New Roman" w:hAnsi="Times New Roman" w:cs="Times New Roman"/>
          <w:sz w:val="24"/>
          <w:szCs w:val="24"/>
        </w:rPr>
        <w:t xml:space="preserve">Bu Tebliğ, </w:t>
      </w:r>
      <w:proofErr w:type="gramStart"/>
      <w:r w:rsidRPr="00712987">
        <w:rPr>
          <w:rFonts w:ascii="Times New Roman" w:hAnsi="Times New Roman" w:cs="Times New Roman"/>
          <w:sz w:val="24"/>
          <w:szCs w:val="24"/>
        </w:rPr>
        <w:t>29/12/2011</w:t>
      </w:r>
      <w:proofErr w:type="gramEnd"/>
      <w:r w:rsidRPr="00712987">
        <w:rPr>
          <w:rFonts w:ascii="Times New Roman" w:hAnsi="Times New Roman" w:cs="Times New Roman"/>
          <w:sz w:val="24"/>
          <w:szCs w:val="24"/>
        </w:rPr>
        <w:t xml:space="preserve"> tarihli ve 28157 üçüncü mükerrer sayılı Resmî </w:t>
      </w:r>
      <w:proofErr w:type="spellStart"/>
      <w:r w:rsidRPr="00712987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712987">
        <w:rPr>
          <w:rFonts w:ascii="Times New Roman" w:hAnsi="Times New Roman" w:cs="Times New Roman"/>
          <w:sz w:val="24"/>
          <w:szCs w:val="24"/>
        </w:rPr>
        <w:t xml:space="preserve"> yayımlanan Türk Gıda Kodeksi Yönetmeliğine dayanılarak hazırlanmıştır.</w:t>
      </w:r>
    </w:p>
    <w:p w:rsidR="00AB6F3D" w:rsidRPr="00712987" w:rsidRDefault="00AB6F3D" w:rsidP="00AB6F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hAnsi="Times New Roman" w:cs="Times New Roman"/>
          <w:sz w:val="24"/>
          <w:szCs w:val="24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1E7679" w:rsidRPr="00712987" w:rsidRDefault="00AB6F3D" w:rsidP="001E7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922FBE" w:rsidRPr="00A073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</w:t>
      </w:r>
      <w:r w:rsidR="00922FBE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 Tebliğde geçen;</w:t>
      </w:r>
    </w:p>
    <w:p w:rsidR="00330D54" w:rsidRPr="00712987" w:rsidRDefault="00795203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a) </w:t>
      </w:r>
      <w:r w:rsidR="00831248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Buzlu ürünler; Yenilebilir buzlu ürünler ve buz karışımları,</w:t>
      </w:r>
    </w:p>
    <w:p w:rsidR="00330D54" w:rsidRPr="00712987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Buz karışımları:</w:t>
      </w:r>
      <w:r w:rsidR="00A027D0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4DBF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u, şeker</w:t>
      </w:r>
      <w:r w:rsidR="00092C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gerektiğinde;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67304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bitkisel yağ </w:t>
      </w:r>
      <w:r w:rsidR="00D67304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ve/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süt yağı, </w:t>
      </w:r>
      <w:proofErr w:type="gramStart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</w:t>
      </w:r>
      <w:proofErr w:type="gramEnd"/>
      <w:r w:rsidR="007B17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verici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çeşni maddelerinin kullanılmasıyla hazırlanan ürünü,</w:t>
      </w:r>
    </w:p>
    <w:p w:rsidR="00330D54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77089D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Yenilebilir buzlu ürünler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75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Süt ve/veya süt ürünleri, s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u, şeker, süt proteinleri, süt yağı ve/veya bitkisel yağ ve/veya yumurta yağı ile gerektiğinde</w:t>
      </w:r>
      <w:r w:rsidR="00092C5B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</w:t>
      </w:r>
      <w:proofErr w:type="gramEnd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B17E1">
        <w:rPr>
          <w:rFonts w:ascii="Times New Roman" w:eastAsia="Times New Roman" w:hAnsi="Times New Roman" w:cs="Times New Roman"/>
          <w:sz w:val="24"/>
          <w:szCs w:val="24"/>
          <w:lang w:eastAsia="tr-TR"/>
        </w:rPr>
        <w:t>verici</w:t>
      </w:r>
      <w:r w:rsidR="007B17E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ve çeşni maddeleri gibi bileşenleri içeren ürünü,</w:t>
      </w:r>
    </w:p>
    <w:p w:rsidR="00AB1248" w:rsidRDefault="00AB1248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ç) </w:t>
      </w:r>
      <w:r w:rsidR="004B5DC1" w:rsidRPr="00712987">
        <w:rPr>
          <w:rFonts w:ascii="Times New Roman" w:hAnsi="Times New Roman" w:cs="Times New Roman"/>
          <w:sz w:val="24"/>
          <w:szCs w:val="24"/>
        </w:rPr>
        <w:t xml:space="preserve">Çeşni maddesi: </w:t>
      </w:r>
      <w:r w:rsidR="004B5DC1">
        <w:rPr>
          <w:rFonts w:ascii="Times New Roman" w:hAnsi="Times New Roman" w:cs="Times New Roman"/>
          <w:sz w:val="24"/>
          <w:szCs w:val="24"/>
        </w:rPr>
        <w:t>M</w:t>
      </w:r>
      <w:r w:rsidR="004B5DC1" w:rsidRPr="00712987">
        <w:rPr>
          <w:rFonts w:ascii="Times New Roman" w:hAnsi="Times New Roman" w:cs="Times New Roman"/>
          <w:sz w:val="24"/>
          <w:szCs w:val="24"/>
        </w:rPr>
        <w:t xml:space="preserve">eyve ve sebzeler ile bunların suyu, </w:t>
      </w:r>
      <w:proofErr w:type="gramStart"/>
      <w:r w:rsidR="004B5DC1" w:rsidRPr="00712987">
        <w:rPr>
          <w:rFonts w:ascii="Times New Roman" w:hAnsi="Times New Roman" w:cs="Times New Roman"/>
          <w:sz w:val="24"/>
          <w:szCs w:val="24"/>
        </w:rPr>
        <w:t>konsantresi</w:t>
      </w:r>
      <w:proofErr w:type="gramEnd"/>
      <w:r w:rsidR="004B5DC1" w:rsidRPr="00712987">
        <w:rPr>
          <w:rFonts w:ascii="Times New Roman" w:hAnsi="Times New Roman" w:cs="Times New Roman"/>
          <w:sz w:val="24"/>
          <w:szCs w:val="24"/>
        </w:rPr>
        <w:t>, püresi, ezmesi</w:t>
      </w:r>
      <w:r w:rsidR="004B5DC1">
        <w:rPr>
          <w:rFonts w:ascii="Times New Roman" w:hAnsi="Times New Roman" w:cs="Times New Roman"/>
          <w:sz w:val="24"/>
          <w:szCs w:val="24"/>
        </w:rPr>
        <w:t>, f</w:t>
      </w:r>
      <w:r w:rsidR="004B5DC1" w:rsidRPr="00712987">
        <w:rPr>
          <w:rFonts w:ascii="Times New Roman" w:hAnsi="Times New Roman" w:cs="Times New Roman"/>
          <w:sz w:val="24"/>
          <w:szCs w:val="24"/>
        </w:rPr>
        <w:t xml:space="preserve">ındık, fıstık, badem, ceviz gibi </w:t>
      </w:r>
      <w:r w:rsidR="004B5DC1">
        <w:rPr>
          <w:rFonts w:ascii="Times New Roman" w:hAnsi="Times New Roman" w:cs="Times New Roman"/>
          <w:sz w:val="24"/>
          <w:szCs w:val="24"/>
        </w:rPr>
        <w:t xml:space="preserve">sert kabuklu meyveler, tahıllar gibi bitkiler ve bitki </w:t>
      </w:r>
      <w:proofErr w:type="spellStart"/>
      <w:r w:rsidR="004B5DC1">
        <w:rPr>
          <w:rFonts w:ascii="Times New Roman" w:hAnsi="Times New Roman" w:cs="Times New Roman"/>
          <w:sz w:val="24"/>
          <w:szCs w:val="24"/>
        </w:rPr>
        <w:t>preperatları</w:t>
      </w:r>
      <w:proofErr w:type="spellEnd"/>
      <w:r w:rsidR="004B5DC1">
        <w:rPr>
          <w:rFonts w:ascii="Times New Roman" w:hAnsi="Times New Roman" w:cs="Times New Roman"/>
          <w:sz w:val="24"/>
          <w:szCs w:val="24"/>
        </w:rPr>
        <w:t>,</w:t>
      </w:r>
      <w:r w:rsidR="004B5DC1" w:rsidRPr="00712987">
        <w:rPr>
          <w:rFonts w:ascii="Times New Roman" w:hAnsi="Times New Roman" w:cs="Times New Roman"/>
          <w:sz w:val="24"/>
          <w:szCs w:val="24"/>
        </w:rPr>
        <w:t xml:space="preserve"> şekerli mamuller ile bal, kahve, kakao, çikolata, baharat gibi yenilebilir ürünler</w:t>
      </w:r>
      <w:r w:rsidR="004B5DC1">
        <w:rPr>
          <w:rFonts w:ascii="Times New Roman" w:hAnsi="Times New Roman" w:cs="Times New Roman"/>
          <w:sz w:val="24"/>
          <w:szCs w:val="24"/>
        </w:rPr>
        <w:t>,</w:t>
      </w:r>
    </w:p>
    <w:p w:rsidR="004B5DC1" w:rsidRDefault="00330D54" w:rsidP="0033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4B5DC1" w:rsidRPr="00712987">
        <w:rPr>
          <w:rFonts w:ascii="Times New Roman" w:hAnsi="Times New Roman" w:cs="Times New Roman"/>
          <w:sz w:val="24"/>
          <w:szCs w:val="24"/>
        </w:rPr>
        <w:t>Tropik ve/veya özel meyveler: Aroması yüksek ve/veya yoğun kıvama sa</w:t>
      </w:r>
      <w:r w:rsidR="004B5DC1">
        <w:rPr>
          <w:rFonts w:ascii="Times New Roman" w:hAnsi="Times New Roman" w:cs="Times New Roman"/>
          <w:sz w:val="24"/>
          <w:szCs w:val="24"/>
        </w:rPr>
        <w:t xml:space="preserve">hip ananas, muz, kivi, mango, </w:t>
      </w:r>
      <w:proofErr w:type="spellStart"/>
      <w:r w:rsidR="004B5DC1">
        <w:rPr>
          <w:rFonts w:ascii="Times New Roman" w:hAnsi="Times New Roman" w:cs="Times New Roman"/>
          <w:sz w:val="24"/>
          <w:szCs w:val="24"/>
        </w:rPr>
        <w:t>gu</w:t>
      </w:r>
      <w:r w:rsidR="004B5DC1" w:rsidRPr="00712987">
        <w:rPr>
          <w:rFonts w:ascii="Times New Roman" w:hAnsi="Times New Roman" w:cs="Times New Roman"/>
          <w:sz w:val="24"/>
          <w:szCs w:val="24"/>
        </w:rPr>
        <w:t>ava</w:t>
      </w:r>
      <w:proofErr w:type="spellEnd"/>
      <w:r w:rsidR="004B5DC1" w:rsidRPr="00712987">
        <w:rPr>
          <w:rFonts w:ascii="Times New Roman" w:hAnsi="Times New Roman" w:cs="Times New Roman"/>
          <w:sz w:val="24"/>
          <w:szCs w:val="24"/>
        </w:rPr>
        <w:t xml:space="preserve">, çarkıfelek meyvesi, </w:t>
      </w:r>
      <w:proofErr w:type="spellStart"/>
      <w:r w:rsidR="004B5DC1" w:rsidRPr="00712987">
        <w:rPr>
          <w:rFonts w:ascii="Times New Roman" w:hAnsi="Times New Roman" w:cs="Times New Roman"/>
          <w:sz w:val="24"/>
          <w:szCs w:val="24"/>
        </w:rPr>
        <w:t>Guanabana</w:t>
      </w:r>
      <w:proofErr w:type="spellEnd"/>
      <w:r w:rsidR="004B5DC1" w:rsidRPr="00712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C1" w:rsidRPr="00712987">
        <w:rPr>
          <w:rFonts w:ascii="Times New Roman" w:hAnsi="Times New Roman" w:cs="Times New Roman"/>
          <w:sz w:val="24"/>
          <w:szCs w:val="24"/>
        </w:rPr>
        <w:t>Corrosol</w:t>
      </w:r>
      <w:proofErr w:type="spellEnd"/>
      <w:r w:rsidR="004B5DC1" w:rsidRPr="00712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DC1" w:rsidRPr="00712987">
        <w:rPr>
          <w:rFonts w:ascii="Times New Roman" w:hAnsi="Times New Roman" w:cs="Times New Roman"/>
          <w:sz w:val="24"/>
          <w:szCs w:val="24"/>
        </w:rPr>
        <w:t>cherimoya</w:t>
      </w:r>
      <w:proofErr w:type="spellEnd"/>
      <w:r w:rsidR="004B5DC1" w:rsidRPr="00712987">
        <w:rPr>
          <w:rFonts w:ascii="Times New Roman" w:hAnsi="Times New Roman" w:cs="Times New Roman"/>
          <w:sz w:val="24"/>
          <w:szCs w:val="24"/>
        </w:rPr>
        <w:t xml:space="preserve"> gibi meyveleri,</w:t>
      </w:r>
    </w:p>
    <w:p w:rsidR="00330D54" w:rsidRDefault="00330D54" w:rsidP="0033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7">
        <w:rPr>
          <w:rFonts w:ascii="Times New Roman" w:hAnsi="Times New Roman" w:cs="Times New Roman"/>
          <w:sz w:val="24"/>
          <w:szCs w:val="24"/>
        </w:rPr>
        <w:tab/>
      </w:r>
      <w:r w:rsidR="00795203">
        <w:rPr>
          <w:rFonts w:ascii="Times New Roman" w:hAnsi="Times New Roman" w:cs="Times New Roman"/>
          <w:sz w:val="24"/>
          <w:szCs w:val="24"/>
        </w:rPr>
        <w:t xml:space="preserve">e) </w:t>
      </w:r>
      <w:r w:rsidR="004B5DC1">
        <w:rPr>
          <w:rFonts w:ascii="Times New Roman" w:hAnsi="Times New Roman" w:cs="Times New Roman"/>
          <w:sz w:val="24"/>
          <w:szCs w:val="24"/>
        </w:rPr>
        <w:t>Su:</w:t>
      </w:r>
      <w:proofErr w:type="gramStart"/>
      <w:r w:rsidR="004B5DC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17/</w:t>
      </w:r>
      <w:r w:rsidR="004B5DC1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2/2005</w:t>
      </w:r>
      <w:proofErr w:type="gramEnd"/>
      <w:r w:rsidR="004B5DC1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225730 sayılı Resmî </w:t>
      </w:r>
      <w:proofErr w:type="spellStart"/>
      <w:r w:rsidR="004B5DC1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="004B5DC1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</w:t>
      </w:r>
      <w:r w:rsidR="004B5DC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İnsani Tüketim </w:t>
      </w:r>
      <w:r w:rsidR="004B5DC1">
        <w:rPr>
          <w:rFonts w:ascii="Times New Roman" w:eastAsia="Times New Roman" w:hAnsi="Times New Roman" w:cs="Times New Roman"/>
          <w:sz w:val="24"/>
          <w:szCs w:val="24"/>
          <w:lang w:eastAsia="tr-TR"/>
        </w:rPr>
        <w:t>Amaçlı Sular Hakkında Yönetmeliğin</w:t>
      </w:r>
      <w:r w:rsidR="004B5DC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de belirtilen şartlara uygun içme suyu</w:t>
      </w:r>
      <w:r w:rsidR="004B5DC1">
        <w:rPr>
          <w:rFonts w:ascii="Times New Roman" w:eastAsia="Times New Roman" w:hAnsi="Times New Roman" w:cs="Times New Roman"/>
          <w:sz w:val="24"/>
          <w:szCs w:val="24"/>
          <w:lang w:eastAsia="tr-TR"/>
        </w:rPr>
        <w:t>nu,</w:t>
      </w:r>
    </w:p>
    <w:p w:rsidR="00330D54" w:rsidRPr="00712987" w:rsidRDefault="00AB1248" w:rsidP="004B5D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EAF">
        <w:rPr>
          <w:rFonts w:ascii="Times New Roman" w:hAnsi="Times New Roman" w:cs="Times New Roman"/>
          <w:sz w:val="24"/>
          <w:szCs w:val="24"/>
        </w:rPr>
        <w:t xml:space="preserve">f) </w:t>
      </w:r>
      <w:r w:rsidR="004B5DC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Buzlu ürünler bileşimlerine ve piyasaya </w:t>
      </w:r>
      <w:r w:rsidR="004B5DC1">
        <w:rPr>
          <w:rFonts w:ascii="Times New Roman" w:eastAsia="Times New Roman" w:hAnsi="Times New Roman" w:cs="Times New Roman"/>
          <w:sz w:val="24"/>
          <w:szCs w:val="24"/>
          <w:lang w:eastAsia="tr-TR"/>
        </w:rPr>
        <w:t>arzına</w:t>
      </w:r>
      <w:r w:rsidR="004B5DC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göre;</w:t>
      </w:r>
    </w:p>
    <w:p w:rsidR="00330D54" w:rsidRPr="00712987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 </w:t>
      </w:r>
      <w:r w:rsidR="00796D5C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 buzu: </w:t>
      </w:r>
      <w:r w:rsidR="00754DBF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032004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u, şeker ve gerektiğinde</w:t>
      </w:r>
      <w:r w:rsidR="001120FD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7B17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76D4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</w:t>
      </w:r>
      <w:proofErr w:type="gramEnd"/>
      <w:r w:rsidR="00876D4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vericiler ve çeşni maddelerinin kullanılmasıyla hazırlanan ve</w:t>
      </w:r>
      <w:r w:rsidR="00796D5C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 m</w:t>
      </w:r>
      <w:r w:rsidR="00831248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addesi ağırlıkça en az %12 olan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buz</w:t>
      </w:r>
      <w:r w:rsidR="007D4AA4">
        <w:rPr>
          <w:rFonts w:ascii="Times New Roman" w:eastAsia="Times New Roman" w:hAnsi="Times New Roman" w:cs="Times New Roman"/>
          <w:sz w:val="24"/>
          <w:szCs w:val="24"/>
          <w:lang w:eastAsia="tr-TR"/>
        </w:rPr>
        <w:t>lu</w:t>
      </w:r>
      <w:r w:rsidR="00401D94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ürünü,</w:t>
      </w:r>
    </w:p>
    <w:p w:rsidR="00330D54" w:rsidRPr="00712987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B7D3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2-</w:t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8103D">
        <w:rPr>
          <w:rFonts w:ascii="Times New Roman" w:eastAsia="Times New Roman" w:hAnsi="Times New Roman" w:cs="Times New Roman"/>
          <w:sz w:val="24"/>
          <w:szCs w:val="24"/>
          <w:lang w:eastAsia="tr-TR"/>
        </w:rPr>
        <w:t>Çeşnili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buz: Buz karışımları genel tanımına uyan, </w:t>
      </w:r>
      <w:r w:rsidR="007E12A0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ağırlıkça en az %15 meyve içeren ve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 maddesi ağırlıkça en az %12 olan 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buz</w:t>
      </w:r>
      <w:r w:rsidR="007D4AA4">
        <w:rPr>
          <w:rFonts w:ascii="Times New Roman" w:eastAsia="Times New Roman" w:hAnsi="Times New Roman" w:cs="Times New Roman"/>
          <w:sz w:val="24"/>
          <w:szCs w:val="24"/>
          <w:lang w:eastAsia="tr-TR"/>
        </w:rPr>
        <w:t>lu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ürünü,</w:t>
      </w:r>
    </w:p>
    <w:p w:rsidR="00330D54" w:rsidRPr="00712987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B7D3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3-</w:t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Sorbe</w:t>
      </w:r>
      <w:proofErr w:type="spellEnd"/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Buz karışımları genel tanımına uyan, </w:t>
      </w:r>
      <w:r w:rsidR="00505637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  %25 meyve ve/veya sebze içeren </w:t>
      </w:r>
      <w:proofErr w:type="gramStart"/>
      <w:r w:rsidR="00505637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gramEnd"/>
      <w:r w:rsidR="00505637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 maddesi ağırlıkça en az %12 olan 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buz</w:t>
      </w:r>
      <w:r w:rsidR="007D4AA4">
        <w:rPr>
          <w:rFonts w:ascii="Times New Roman" w:eastAsia="Times New Roman" w:hAnsi="Times New Roman" w:cs="Times New Roman"/>
          <w:sz w:val="24"/>
          <w:szCs w:val="24"/>
          <w:lang w:eastAsia="tr-TR"/>
        </w:rPr>
        <w:t>lu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ürünü,</w:t>
      </w:r>
    </w:p>
    <w:p w:rsidR="00330D54" w:rsidRPr="00712987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B7D3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4-</w:t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Sütlü buz: </w:t>
      </w:r>
      <w:r w:rsidR="00BE45A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Yenilebilir buzlu ürünler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tanımına uyan, ağırlıkça en az %2,5 süt yağı ve ağırlıkça en az %6 yağsız süt kuru</w:t>
      </w:r>
      <w:r w:rsidR="0055449C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maddesi içeren, </w:t>
      </w:r>
      <w:r w:rsidR="00261AEF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sadece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süt orjinli protein</w:t>
      </w:r>
      <w:r w:rsidR="00723E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 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buz</w:t>
      </w:r>
      <w:r w:rsidR="007D4AA4">
        <w:rPr>
          <w:rFonts w:ascii="Times New Roman" w:eastAsia="Times New Roman" w:hAnsi="Times New Roman" w:cs="Times New Roman"/>
          <w:sz w:val="24"/>
          <w:szCs w:val="24"/>
          <w:lang w:eastAsia="tr-TR"/>
        </w:rPr>
        <w:t>lu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ürünü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105A2" w:rsidRPr="00712987" w:rsidRDefault="00330D54" w:rsidP="0033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B7D3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5-</w:t>
      </w:r>
      <w:r w:rsidR="007952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25E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3E7076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z krem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BE45A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Yenilebilir buzlu ürünler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 tanımına uyan, bitkisel yağ ve/veya süt yağı ve/veya yumurta yağını ağırlıkça en az %5 oranında içeren ve süt proteini dışında protein içermeyen ve süt proteini içeriği ağırlıkça en az %2,2 olan 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buz</w:t>
      </w:r>
      <w:r w:rsidR="007D4AA4">
        <w:rPr>
          <w:rFonts w:ascii="Times New Roman" w:eastAsia="Times New Roman" w:hAnsi="Times New Roman" w:cs="Times New Roman"/>
          <w:sz w:val="24"/>
          <w:szCs w:val="24"/>
          <w:lang w:eastAsia="tr-TR"/>
        </w:rPr>
        <w:t>lu</w:t>
      </w:r>
      <w:r w:rsidR="00D105A2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ürünü </w:t>
      </w:r>
    </w:p>
    <w:p w:rsidR="0098713A" w:rsidRDefault="0098713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eder.</w:t>
      </w:r>
    </w:p>
    <w:p w:rsidR="00896F30" w:rsidRDefault="00896F30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F30" w:rsidRDefault="00896F30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F30" w:rsidRDefault="00896F30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F30" w:rsidRPr="00896F30" w:rsidRDefault="00896F30" w:rsidP="0089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96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İKİNCİ BÖLÜM</w:t>
      </w:r>
    </w:p>
    <w:p w:rsidR="00896F30" w:rsidRPr="00896F30" w:rsidRDefault="00896F30" w:rsidP="0089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96F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Hükümler</w:t>
      </w:r>
    </w:p>
    <w:p w:rsidR="00330D54" w:rsidRPr="00712987" w:rsidRDefault="00330D54" w:rsidP="00896F30">
      <w:pPr>
        <w:shd w:val="clear" w:color="auto" w:fill="FFFFFF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Ürün özellikleri</w:t>
      </w:r>
    </w:p>
    <w:p w:rsidR="00330D54" w:rsidRPr="00712987" w:rsidRDefault="00330D54" w:rsidP="00330D5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0B7D36"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 Tebliğ kapsamındaki ürünlerin özellikleri aşağıda verilmiştir:</w:t>
      </w:r>
    </w:p>
    <w:p w:rsidR="00330D54" w:rsidRPr="00712987" w:rsidRDefault="00330D54" w:rsidP="00330D5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a) Ürünler kendine has tat, koku ve yapıda olmalıdır.</w:t>
      </w:r>
    </w:p>
    <w:p w:rsidR="00AB1248" w:rsidRDefault="00330D54" w:rsidP="00330D5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AB1248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D2041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 birim hacminin kütlesi en az 475 g/L olmalıdır.</w:t>
      </w:r>
    </w:p>
    <w:p w:rsidR="00330D54" w:rsidRDefault="0098713A" w:rsidP="00E91A0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E84055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Tebliğ kapsamındaki ürünlerin </w:t>
      </w:r>
      <w:r w:rsidR="00E84055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5637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iğer </w:t>
      </w:r>
      <w:r w:rsidR="005637DF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özellikleri </w:t>
      </w:r>
      <w:r w:rsidR="00E91A0D">
        <w:rPr>
          <w:rFonts w:ascii="Times New Roman" w:eastAsia="Times New Roman" w:hAnsi="Times New Roman" w:cs="Times New Roman"/>
          <w:sz w:val="24"/>
          <w:szCs w:val="24"/>
          <w:lang w:eastAsia="tr-TR"/>
        </w:rPr>
        <w:t>Ek 1</w:t>
      </w:r>
      <w:r w:rsidR="005637DF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E91A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yer almaktadır. </w:t>
      </w:r>
    </w:p>
    <w:p w:rsidR="005637DF" w:rsidRDefault="00856873" w:rsidP="005637DF">
      <w:pPr>
        <w:widowControl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5637D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</w:t>
      </w:r>
      <w:r w:rsidR="005168F0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  <w:r w:rsid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5168F0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Fermente süt ürünleri içeren </w:t>
      </w:r>
      <w:r w:rsidR="005168F0">
        <w:rPr>
          <w:rFonts w:ascii="Times New Roman" w:eastAsia="Times New Roman" w:hAnsi="Times New Roman" w:cs="Times New Roman"/>
          <w:sz w:val="24"/>
          <w:szCs w:val="24"/>
          <w:lang w:eastAsia="tr-TR"/>
        </w:rPr>
        <w:t>buzlu ürünlerde</w:t>
      </w:r>
      <w:r w:rsidR="005168F0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168F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TGK Fermente Süt Ürünleri Tebliği Ek-2’de yer </w:t>
      </w:r>
      <w:r w:rsidR="005168F0" w:rsidRPr="005168F0">
        <w:rPr>
          <w:rFonts w:ascii="Times New Roman" w:eastAsia="Times New Roman" w:hAnsi="Times New Roman" w:cs="Times New Roman"/>
          <w:sz w:val="24"/>
          <w:szCs w:val="24"/>
          <w:lang w:eastAsia="tr-TR"/>
        </w:rPr>
        <w:t>alan t</w:t>
      </w:r>
      <w:r w:rsidR="005168F0" w:rsidRPr="005168F0">
        <w:rPr>
          <w:rFonts w:ascii="Times New Roman" w:hAnsi="Times New Roman" w:cs="Times New Roman"/>
          <w:snapToGrid w:val="0"/>
          <w:sz w:val="24"/>
          <w:szCs w:val="24"/>
        </w:rPr>
        <w:t xml:space="preserve">oplam </w:t>
      </w:r>
      <w:proofErr w:type="gramStart"/>
      <w:r w:rsidR="005168F0">
        <w:rPr>
          <w:rFonts w:ascii="Times New Roman" w:hAnsi="Times New Roman" w:cs="Times New Roman"/>
          <w:snapToGrid w:val="0"/>
          <w:sz w:val="24"/>
          <w:szCs w:val="24"/>
        </w:rPr>
        <w:t>spesifik</w:t>
      </w:r>
      <w:proofErr w:type="gramEnd"/>
      <w:r w:rsidR="005168F0">
        <w:rPr>
          <w:rFonts w:ascii="Times New Roman" w:hAnsi="Times New Roman" w:cs="Times New Roman"/>
          <w:snapToGrid w:val="0"/>
          <w:sz w:val="24"/>
          <w:szCs w:val="24"/>
        </w:rPr>
        <w:t xml:space="preserve"> m</w:t>
      </w:r>
      <w:r w:rsidR="005168F0" w:rsidRPr="005168F0">
        <w:rPr>
          <w:rFonts w:ascii="Times New Roman" w:hAnsi="Times New Roman" w:cs="Times New Roman"/>
          <w:snapToGrid w:val="0"/>
          <w:sz w:val="24"/>
          <w:szCs w:val="24"/>
        </w:rPr>
        <w:t>ikroorganizma sayısı aranmaz.</w:t>
      </w:r>
    </w:p>
    <w:p w:rsidR="00330D54" w:rsidRPr="00712987" w:rsidRDefault="00330D54" w:rsidP="005637DF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637DF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C53CC8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) </w:t>
      </w:r>
      <w:r w:rsidR="00F22206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</w:t>
      </w:r>
      <w:r w:rsidR="009622F1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uzlu ürünlere</w:t>
      </w:r>
      <w:r w:rsidR="00C53CC8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C50D5C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C67587" w:rsidRPr="00712987">
        <w:rPr>
          <w:rFonts w:ascii="Times New Roman" w:hAnsi="Times New Roman" w:cs="Times New Roman"/>
          <w:bCs/>
          <w:sz w:val="24"/>
          <w:szCs w:val="24"/>
        </w:rPr>
        <w:t>probiyotikler</w:t>
      </w:r>
      <w:proofErr w:type="spellEnd"/>
      <w:r w:rsidR="00C67587" w:rsidRPr="007129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67587" w:rsidRPr="00712987">
        <w:rPr>
          <w:rFonts w:ascii="Times New Roman" w:hAnsi="Times New Roman" w:cs="Times New Roman"/>
          <w:bCs/>
          <w:sz w:val="24"/>
          <w:szCs w:val="24"/>
        </w:rPr>
        <w:t>prebiyotikler</w:t>
      </w:r>
      <w:proofErr w:type="spellEnd"/>
      <w:r w:rsidR="00C50D5C" w:rsidRPr="00712987">
        <w:rPr>
          <w:rFonts w:ascii="Times New Roman" w:hAnsi="Times New Roman" w:cs="Times New Roman"/>
          <w:bCs/>
          <w:sz w:val="24"/>
          <w:szCs w:val="24"/>
        </w:rPr>
        <w:t>,</w:t>
      </w:r>
      <w:r w:rsidR="00C67587" w:rsidRPr="0071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D5C" w:rsidRPr="00712987">
        <w:rPr>
          <w:rFonts w:ascii="Times New Roman" w:hAnsi="Times New Roman" w:cs="Times New Roman"/>
          <w:bCs/>
          <w:sz w:val="24"/>
          <w:szCs w:val="24"/>
        </w:rPr>
        <w:t xml:space="preserve">yenilebilir karbonhidratlar ile </w:t>
      </w:r>
      <w:proofErr w:type="spellStart"/>
      <w:r w:rsidR="00C50D5C" w:rsidRPr="00712987">
        <w:rPr>
          <w:rFonts w:ascii="Times New Roman" w:hAnsi="Times New Roman" w:cs="Times New Roman"/>
          <w:bCs/>
          <w:sz w:val="24"/>
          <w:szCs w:val="24"/>
        </w:rPr>
        <w:t>stabilizör</w:t>
      </w:r>
      <w:proofErr w:type="spellEnd"/>
      <w:r w:rsidR="00C50D5C" w:rsidRPr="00712987">
        <w:rPr>
          <w:rFonts w:ascii="Times New Roman" w:hAnsi="Times New Roman" w:cs="Times New Roman"/>
          <w:bCs/>
          <w:sz w:val="24"/>
          <w:szCs w:val="24"/>
        </w:rPr>
        <w:t xml:space="preserve"> amaçlı olarak nişasta ve doğal lifler</w:t>
      </w:r>
      <w:r w:rsidR="00C67587" w:rsidRPr="00712987">
        <w:rPr>
          <w:rFonts w:ascii="Times New Roman" w:hAnsi="Times New Roman" w:cs="Times New Roman"/>
          <w:bCs/>
          <w:sz w:val="24"/>
          <w:szCs w:val="24"/>
        </w:rPr>
        <w:t xml:space="preserve"> gibi gıdalar</w:t>
      </w:r>
      <w:r w:rsidR="00C50D5C" w:rsidRPr="00712987">
        <w:rPr>
          <w:rFonts w:ascii="Times New Roman" w:hAnsi="Times New Roman" w:cs="Times New Roman"/>
          <w:bCs/>
          <w:sz w:val="24"/>
          <w:szCs w:val="24"/>
        </w:rPr>
        <w:t xml:space="preserve"> teknolojinin izin verdiği miktarda katılabilir.</w:t>
      </w:r>
    </w:p>
    <w:p w:rsidR="00D105A2" w:rsidRDefault="00FD2041" w:rsidP="00330D5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637DF">
        <w:rPr>
          <w:rFonts w:ascii="Times New Roman" w:hAnsi="Times New Roman" w:cs="Times New Roman"/>
          <w:bCs/>
          <w:sz w:val="24"/>
          <w:szCs w:val="24"/>
        </w:rPr>
        <w:t>e</w:t>
      </w:r>
      <w:r w:rsidR="00D105A2" w:rsidRPr="008368CC">
        <w:rPr>
          <w:rFonts w:ascii="Times New Roman" w:hAnsi="Times New Roman" w:cs="Times New Roman"/>
          <w:sz w:val="24"/>
          <w:szCs w:val="24"/>
        </w:rPr>
        <w:t>)</w:t>
      </w:r>
      <w:r w:rsidR="008368CC">
        <w:rPr>
          <w:rFonts w:ascii="Times New Roman" w:hAnsi="Times New Roman" w:cs="Times New Roman"/>
          <w:sz w:val="24"/>
          <w:szCs w:val="24"/>
        </w:rPr>
        <w:t xml:space="preserve"> </w:t>
      </w:r>
      <w:r w:rsidR="008368CC" w:rsidRPr="008368CC">
        <w:rPr>
          <w:rFonts w:ascii="Times New Roman" w:eastAsia="Times New Roman" w:hAnsi="Times New Roman" w:cs="Times New Roman"/>
          <w:sz w:val="24"/>
          <w:szCs w:val="24"/>
          <w:lang w:eastAsia="tr-TR"/>
        </w:rPr>
        <w:t>Coğrafi işaret olarak tescil edilmiş buzlu ürünler, yatay gıda kodeksi hükümlerine aykırı olmamak koşulu ile coğrafi işaret tescilinde belirtilen özelliklere göre piyasaya arz edilir.</w:t>
      </w:r>
      <w:r w:rsidR="00D105A2" w:rsidRPr="0083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393" w:rsidRDefault="00A07393" w:rsidP="00A073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D5629E">
        <w:rPr>
          <w:rFonts w:ascii="Times New Roman" w:hAnsi="Times New Roman" w:cs="Times New Roman"/>
          <w:sz w:val="24"/>
          <w:szCs w:val="24"/>
        </w:rPr>
        <w:t xml:space="preserve">Bu Tebliğ kapsamında yer alan ürünlerin üretiminde kullanılacak </w:t>
      </w:r>
      <w:r>
        <w:rPr>
          <w:rFonts w:ascii="Times New Roman" w:hAnsi="Times New Roman" w:cs="Times New Roman"/>
          <w:sz w:val="24"/>
          <w:szCs w:val="24"/>
        </w:rPr>
        <w:t xml:space="preserve">şeker </w:t>
      </w:r>
      <w:proofErr w:type="gram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3/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8/2006</w:t>
      </w:r>
      <w:proofErr w:type="gram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26268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</w:t>
      </w: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Şeker Tebliği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 </w:t>
      </w:r>
      <w:r w:rsidRPr="00D5629E">
        <w:rPr>
          <w:rFonts w:ascii="Times New Roman" w:hAnsi="Times New Roman" w:cs="Times New Roman"/>
          <w:sz w:val="24"/>
          <w:szCs w:val="24"/>
        </w:rPr>
        <w:t>yer alan hükümlere uygun olur.</w:t>
      </w:r>
    </w:p>
    <w:p w:rsidR="00712987" w:rsidRPr="00712987" w:rsidRDefault="00712987" w:rsidP="005637DF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Katkı maddeleri</w:t>
      </w:r>
    </w:p>
    <w:p w:rsidR="008368CC" w:rsidRDefault="00712987" w:rsidP="0071298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F22206" w:rsidRPr="00A07393">
        <w:rPr>
          <w:rFonts w:ascii="Times New Roman" w:hAnsi="Times New Roman" w:cs="Times New Roman"/>
          <w:bCs/>
          <w:sz w:val="24"/>
          <w:szCs w:val="24"/>
        </w:rPr>
        <w:t>(1)</w:t>
      </w:r>
      <w:r w:rsidR="00F22206" w:rsidRPr="00712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206" w:rsidRPr="00712987">
        <w:rPr>
          <w:rFonts w:ascii="Times New Roman" w:hAnsi="Times New Roman" w:cs="Times New Roman"/>
          <w:bCs/>
          <w:sz w:val="24"/>
          <w:szCs w:val="24"/>
        </w:rPr>
        <w:t xml:space="preserve">Bu Tebliğ kapsamında yer alan ürünlerde kullanılan katkı maddeleri, </w:t>
      </w:r>
      <w:proofErr w:type="gramStart"/>
      <w:r w:rsidR="00F22206" w:rsidRPr="00712987">
        <w:rPr>
          <w:rFonts w:ascii="Times New Roman" w:hAnsi="Times New Roman" w:cs="Times New Roman"/>
          <w:bCs/>
          <w:sz w:val="24"/>
          <w:szCs w:val="24"/>
        </w:rPr>
        <w:t>30/6/2013</w:t>
      </w:r>
      <w:proofErr w:type="gramEnd"/>
      <w:r w:rsidR="00F22206" w:rsidRPr="00712987">
        <w:rPr>
          <w:rFonts w:ascii="Times New Roman" w:hAnsi="Times New Roman" w:cs="Times New Roman"/>
          <w:bCs/>
          <w:sz w:val="24"/>
          <w:szCs w:val="24"/>
        </w:rPr>
        <w:t xml:space="preserve"> tarihli ve 28693 sayılı Resmî </w:t>
      </w:r>
      <w:proofErr w:type="spellStart"/>
      <w:r w:rsidR="00F22206" w:rsidRPr="0071298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="00F22206" w:rsidRPr="00712987">
        <w:rPr>
          <w:rFonts w:ascii="Times New Roman" w:hAnsi="Times New Roman" w:cs="Times New Roman"/>
          <w:bCs/>
          <w:sz w:val="24"/>
          <w:szCs w:val="24"/>
        </w:rPr>
        <w:t xml:space="preserve"> yayımlanan Türk Gıda Kodeksi Gıda Katkı Maddeleri Yönetmeliğinde yer alan hükümlere uygun olur.</w:t>
      </w:r>
      <w:r w:rsidR="00F22206" w:rsidRPr="0071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206" w:rsidRPr="00712987" w:rsidRDefault="00FF75EA" w:rsidP="008368C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68CC" w:rsidRPr="00A07393">
        <w:rPr>
          <w:rFonts w:ascii="Times New Roman" w:hAnsi="Times New Roman" w:cs="Times New Roman"/>
          <w:sz w:val="24"/>
          <w:szCs w:val="24"/>
        </w:rPr>
        <w:t>2)</w:t>
      </w:r>
      <w:r w:rsidR="008368CC">
        <w:rPr>
          <w:rFonts w:ascii="Times New Roman" w:hAnsi="Times New Roman" w:cs="Times New Roman"/>
          <w:sz w:val="24"/>
          <w:szCs w:val="24"/>
        </w:rPr>
        <w:t xml:space="preserve"> Ü</w:t>
      </w:r>
      <w:r w:rsidR="00F22206" w:rsidRPr="00712987">
        <w:rPr>
          <w:rFonts w:ascii="Times New Roman" w:hAnsi="Times New Roman" w:cs="Times New Roman"/>
          <w:bCs/>
          <w:sz w:val="24"/>
          <w:szCs w:val="24"/>
        </w:rPr>
        <w:t xml:space="preserve">retiminde çeşni maddesi kullanılmayan </w:t>
      </w:r>
      <w:r w:rsidR="00807B40">
        <w:rPr>
          <w:rFonts w:ascii="Times New Roman" w:hAnsi="Times New Roman" w:cs="Times New Roman"/>
          <w:bCs/>
          <w:sz w:val="24"/>
          <w:szCs w:val="24"/>
        </w:rPr>
        <w:t>ürünlerde</w:t>
      </w:r>
      <w:r w:rsidR="00F22206" w:rsidRPr="00712987">
        <w:rPr>
          <w:rFonts w:ascii="Times New Roman" w:hAnsi="Times New Roman" w:cs="Times New Roman"/>
          <w:bCs/>
          <w:sz w:val="24"/>
          <w:szCs w:val="24"/>
        </w:rPr>
        <w:t xml:space="preserve"> renklendiriciler kullanılmaz.</w:t>
      </w:r>
    </w:p>
    <w:p w:rsidR="00F22206" w:rsidRPr="00712987" w:rsidRDefault="00F22206" w:rsidP="00F222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Aroma vericiler ve </w:t>
      </w:r>
      <w:proofErr w:type="gramStart"/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aroma</w:t>
      </w:r>
      <w:proofErr w:type="gramEnd"/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verme özelliği taşıyan gıda bileşenleri</w:t>
      </w:r>
    </w:p>
    <w:p w:rsidR="00F22206" w:rsidRPr="00712987" w:rsidRDefault="00F22206" w:rsidP="00F22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7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 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Tebliğ kapsamında yer alan ürünlerde kullanılan </w:t>
      </w:r>
      <w:proofErr w:type="gram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</w:t>
      </w:r>
      <w:proofErr w:type="gram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vericiler ve aroma verme özelliği taşıyan gıda bileşenle</w:t>
      </w:r>
      <w:r w:rsidR="008368C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ri 29/12/2011 tarihli ve 28157 3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üncü mükerrer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Türk Gıda Kodeksi Aroma Vericiler ve Aroma Verme Özelliği Taşıyan Gıda Bileşenleri Yönetmeliğinde yer alan hükümlere uygun olur.</w:t>
      </w:r>
    </w:p>
    <w:p w:rsidR="00712987" w:rsidRPr="00712987" w:rsidRDefault="00F653D9" w:rsidP="00712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A87F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8368CC">
        <w:rPr>
          <w:rFonts w:ascii="Times New Roman" w:hAnsi="Times New Roman" w:cs="Times New Roman"/>
          <w:bCs/>
          <w:sz w:val="24"/>
          <w:szCs w:val="24"/>
        </w:rPr>
        <w:t>Ü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rünlerde süt ve süt ürünlerinin </w:t>
      </w:r>
      <w:proofErr w:type="gramStart"/>
      <w:r w:rsidRPr="00712987">
        <w:rPr>
          <w:rFonts w:ascii="Times New Roman" w:hAnsi="Times New Roman" w:cs="Times New Roman"/>
          <w:bCs/>
          <w:sz w:val="24"/>
          <w:szCs w:val="24"/>
        </w:rPr>
        <w:t>aroma</w:t>
      </w:r>
      <w:proofErr w:type="gramEnd"/>
      <w:r w:rsidR="008368CC">
        <w:rPr>
          <w:rFonts w:ascii="Times New Roman" w:hAnsi="Times New Roman" w:cs="Times New Roman"/>
          <w:bCs/>
          <w:sz w:val="24"/>
          <w:szCs w:val="24"/>
        </w:rPr>
        <w:t xml:space="preserve"> vericileri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 kullanılmaz.</w:t>
      </w:r>
    </w:p>
    <w:p w:rsidR="00FB5643" w:rsidRPr="00712987" w:rsidRDefault="00FB5643" w:rsidP="00F319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Bulaşanlar</w:t>
      </w:r>
    </w:p>
    <w:p w:rsidR="00FB5643" w:rsidRDefault="00FB5643" w:rsidP="00FB5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9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Tebliğ kapsamında yer alan ürünlerdeki bulaşanların miktarları, </w:t>
      </w:r>
      <w:proofErr w:type="gram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29/12/2011</w:t>
      </w:r>
      <w:proofErr w:type="gram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28157 3 üncü mükerrer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Türk Gıda Kodeksi Bulaşanlar Yönetmeliğinde yer alan hükümlere uygun olur.</w:t>
      </w:r>
    </w:p>
    <w:p w:rsidR="00FB5643" w:rsidRPr="00712987" w:rsidRDefault="00FB5643" w:rsidP="00FB56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Pestisit kalıntıları</w:t>
      </w:r>
    </w:p>
    <w:p w:rsidR="00FB5643" w:rsidRPr="00712987" w:rsidRDefault="00FB5643" w:rsidP="00FB5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10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Tebliğ kapsamında yer alan ürünlerdeki pestisit kalıntı miktarları, </w:t>
      </w:r>
      <w:proofErr w:type="gram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25/11/2016</w:t>
      </w:r>
      <w:proofErr w:type="gram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29899 mükerrer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Türk Gıda Kodeksi Pestisitlerin Maksimum Kalıntı Limitleri Yönetmeliğinde yer alan hükümlere uygun olur.</w:t>
      </w:r>
    </w:p>
    <w:p w:rsidR="00FB5643" w:rsidRPr="00712987" w:rsidRDefault="00712987" w:rsidP="00FB56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FB5643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Veteriner ilaçları tolerans düzeyleri</w:t>
      </w:r>
    </w:p>
    <w:p w:rsidR="00FB5643" w:rsidRPr="00712987" w:rsidRDefault="00FB5643" w:rsidP="00FB56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11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7267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Tebliğ kapsamındaki ürünlerde bulunabilecek veteriner ilaçları kalıntı düzeyleri </w:t>
      </w:r>
      <w:proofErr w:type="gram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07/03/2017</w:t>
      </w:r>
      <w:proofErr w:type="gram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30000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Türk Gıda Kodeksi Hayvansal Gıdalarda Bulunabilecek Farmakolojik Aktif Maddelerin Sınıflandırılması ve Maksimum Kalıntı Limitleri Yönetmeliğinde yer alan hükümlere uygun olur.</w:t>
      </w:r>
    </w:p>
    <w:p w:rsidR="00FB5643" w:rsidRPr="00712987" w:rsidRDefault="00FB5643" w:rsidP="00FB564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Hijyen</w:t>
      </w:r>
    </w:p>
    <w:p w:rsidR="00A3228B" w:rsidRPr="005637DF" w:rsidRDefault="00FB5643" w:rsidP="005637D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12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A0739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Bu Tebliğ kapsamında yer alan ürünler, </w:t>
      </w:r>
      <w:proofErr w:type="gram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17/12/2011</w:t>
      </w:r>
      <w:proofErr w:type="gram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28145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Gıda Hijyeni Yönetmeliği</w:t>
      </w:r>
      <w:r w:rsidR="00AB124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AB1248" w:rsidRPr="00AB12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1248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27/12/2011 tarihli ve 28155 sayılı Resmî </w:t>
      </w:r>
      <w:proofErr w:type="spellStart"/>
      <w:r w:rsidR="00AB1248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="00AB1248"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</w:t>
      </w:r>
      <w:r w:rsidR="00AB1248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Hayvansal Gıdalar İçin Özel Hijyen Kuralları Yönetmeliği’nde </w:t>
      </w:r>
      <w:r w:rsidR="00AB1248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 şartlar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ile 29/12/2011 tarihli ve 28157 3 üncü mükerrer sayılı Resmî </w:t>
      </w:r>
      <w:proofErr w:type="spellStart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Gazete’de</w:t>
      </w:r>
      <w:proofErr w:type="spellEnd"/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Türk Gıda Kodeksi Mikrobiyolojik Kriterler Yönetmeliğinde yer alan hükümlere uygun olur.</w:t>
      </w:r>
      <w:r w:rsidR="00712987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B5643" w:rsidRPr="00712987" w:rsidRDefault="00A3228B" w:rsidP="0056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FB5643" w:rsidRPr="00712987">
        <w:rPr>
          <w:rFonts w:ascii="Times New Roman" w:hAnsi="Times New Roman" w:cs="Times New Roman"/>
          <w:b/>
          <w:bCs/>
          <w:sz w:val="24"/>
          <w:szCs w:val="24"/>
        </w:rPr>
        <w:t>Ambalajlama</w:t>
      </w:r>
    </w:p>
    <w:p w:rsidR="005637DF" w:rsidRPr="005637DF" w:rsidRDefault="00671AAF" w:rsidP="005637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MADDE 13</w:t>
      </w:r>
      <w:r w:rsidRPr="00671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B5643" w:rsidRPr="00671A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643" w:rsidRPr="00712987">
        <w:rPr>
          <w:rFonts w:ascii="Times New Roman" w:hAnsi="Times New Roman" w:cs="Times New Roman"/>
          <w:bCs/>
          <w:sz w:val="24"/>
          <w:szCs w:val="24"/>
        </w:rPr>
        <w:t xml:space="preserve">(1) Bu Tebliğ kapsamında yer alan ürünlerin ambalajları, </w:t>
      </w:r>
      <w:proofErr w:type="gramStart"/>
      <w:r w:rsidR="00FB5643" w:rsidRPr="00712987">
        <w:rPr>
          <w:rFonts w:ascii="Times New Roman" w:hAnsi="Times New Roman" w:cs="Times New Roman"/>
          <w:bCs/>
          <w:sz w:val="24"/>
          <w:szCs w:val="24"/>
        </w:rPr>
        <w:t>29/12/2011</w:t>
      </w:r>
      <w:proofErr w:type="gramEnd"/>
      <w:r w:rsidR="00FB5643" w:rsidRPr="00712987">
        <w:rPr>
          <w:rFonts w:ascii="Times New Roman" w:hAnsi="Times New Roman" w:cs="Times New Roman"/>
          <w:bCs/>
          <w:sz w:val="24"/>
          <w:szCs w:val="24"/>
        </w:rPr>
        <w:t xml:space="preserve"> tarihli ve 28157 3 üncü mükerrer sayılı Resmî </w:t>
      </w:r>
      <w:proofErr w:type="spellStart"/>
      <w:r w:rsidR="00FB5643" w:rsidRPr="0071298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="00FB5643" w:rsidRPr="00712987">
        <w:rPr>
          <w:rFonts w:ascii="Times New Roman" w:hAnsi="Times New Roman" w:cs="Times New Roman"/>
          <w:bCs/>
          <w:sz w:val="24"/>
          <w:szCs w:val="24"/>
        </w:rPr>
        <w:t xml:space="preserve"> yayımlanan Türk Gıda Kodeksi Gıda ile Temas Eden Madde ve Malzemeler Yönetmeliğind</w:t>
      </w:r>
      <w:r w:rsidR="005168F0">
        <w:rPr>
          <w:rFonts w:ascii="Times New Roman" w:hAnsi="Times New Roman" w:cs="Times New Roman"/>
          <w:bCs/>
          <w:sz w:val="24"/>
          <w:szCs w:val="24"/>
        </w:rPr>
        <w:t>e yer alan hükümlere uygun olur.</w:t>
      </w:r>
    </w:p>
    <w:p w:rsidR="00A3228B" w:rsidRDefault="005637DF" w:rsidP="004B5DC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5643" w:rsidRPr="00712987">
        <w:rPr>
          <w:rFonts w:ascii="Times New Roman" w:hAnsi="Times New Roman" w:cs="Times New Roman"/>
          <w:b/>
          <w:bCs/>
          <w:sz w:val="24"/>
          <w:szCs w:val="24"/>
        </w:rPr>
        <w:t>Etiketleme</w:t>
      </w:r>
    </w:p>
    <w:p w:rsidR="00712987" w:rsidRPr="008503DF" w:rsidRDefault="00FB5643" w:rsidP="00A32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987">
        <w:rPr>
          <w:rFonts w:ascii="Times New Roman" w:hAnsi="Times New Roman" w:cs="Times New Roman"/>
          <w:bCs/>
          <w:sz w:val="24"/>
          <w:szCs w:val="24"/>
        </w:rPr>
        <w:tab/>
      </w:r>
      <w:r w:rsidRPr="00712987">
        <w:rPr>
          <w:rFonts w:ascii="Times New Roman" w:hAnsi="Times New Roman" w:cs="Times New Roman"/>
          <w:b/>
          <w:bCs/>
          <w:sz w:val="24"/>
          <w:szCs w:val="24"/>
        </w:rPr>
        <w:t>MADDE 1</w:t>
      </w:r>
      <w:r w:rsidR="005168F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4C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AAF" w:rsidRPr="00184C5C">
        <w:rPr>
          <w:rFonts w:ascii="Times New Roman" w:hAnsi="Times New Roman" w:cs="Times New Roman"/>
          <w:bCs/>
          <w:sz w:val="24"/>
          <w:szCs w:val="24"/>
        </w:rPr>
        <w:t>-</w:t>
      </w:r>
      <w:r w:rsidRPr="007E32A6">
        <w:rPr>
          <w:rFonts w:ascii="Times New Roman" w:hAnsi="Times New Roman" w:cs="Times New Roman"/>
          <w:bCs/>
          <w:sz w:val="24"/>
          <w:szCs w:val="24"/>
        </w:rPr>
        <w:t xml:space="preserve"> (1)</w:t>
      </w:r>
      <w:r w:rsidRPr="00712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987">
        <w:rPr>
          <w:rFonts w:ascii="Times New Roman" w:hAnsi="Times New Roman" w:cs="Times New Roman"/>
          <w:bCs/>
          <w:sz w:val="24"/>
          <w:szCs w:val="24"/>
        </w:rPr>
        <w:t>Bu Tebliğ k</w:t>
      </w:r>
      <w:r w:rsidR="00D5629E">
        <w:rPr>
          <w:rFonts w:ascii="Times New Roman" w:hAnsi="Times New Roman" w:cs="Times New Roman"/>
          <w:bCs/>
          <w:sz w:val="24"/>
          <w:szCs w:val="24"/>
        </w:rPr>
        <w:t xml:space="preserve">apsamında yer alan ürünler, </w:t>
      </w:r>
      <w:proofErr w:type="gramStart"/>
      <w:r w:rsidR="00D5629E">
        <w:rPr>
          <w:rFonts w:ascii="Times New Roman" w:hAnsi="Times New Roman" w:cs="Times New Roman"/>
          <w:bCs/>
          <w:sz w:val="24"/>
          <w:szCs w:val="24"/>
        </w:rPr>
        <w:t>26/</w:t>
      </w:r>
      <w:r w:rsidRPr="00712987">
        <w:rPr>
          <w:rFonts w:ascii="Times New Roman" w:hAnsi="Times New Roman" w:cs="Times New Roman"/>
          <w:bCs/>
          <w:sz w:val="24"/>
          <w:szCs w:val="24"/>
        </w:rPr>
        <w:t>1/2017</w:t>
      </w:r>
      <w:proofErr w:type="gramEnd"/>
      <w:r w:rsidRPr="00712987">
        <w:rPr>
          <w:rFonts w:ascii="Times New Roman" w:hAnsi="Times New Roman" w:cs="Times New Roman"/>
          <w:bCs/>
          <w:sz w:val="24"/>
          <w:szCs w:val="24"/>
        </w:rPr>
        <w:t xml:space="preserve"> tarihli ve 29960 mükerrer sayılı Resmî </w:t>
      </w:r>
      <w:proofErr w:type="spellStart"/>
      <w:r w:rsidRPr="0071298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Pr="00712987">
        <w:rPr>
          <w:rFonts w:ascii="Times New Roman" w:hAnsi="Times New Roman" w:cs="Times New Roman"/>
          <w:bCs/>
          <w:sz w:val="24"/>
          <w:szCs w:val="24"/>
        </w:rPr>
        <w:t xml:space="preserve"> yayımlanan Türk Gıda Kodeksi Gıda Etiketleme ve Tüketicileri Bilgilendirme Yönetmeliğinde yer alan hükümlere uygun olur. </w:t>
      </w:r>
      <w:r w:rsidRPr="00712987">
        <w:rPr>
          <w:rFonts w:ascii="Times New Roman" w:hAnsi="Times New Roman" w:cs="Times New Roman"/>
          <w:sz w:val="24"/>
          <w:szCs w:val="24"/>
        </w:rPr>
        <w:t xml:space="preserve">Bu genel kurallara ek </w:t>
      </w:r>
      <w:r w:rsidRPr="008503DF">
        <w:rPr>
          <w:rFonts w:ascii="Times New Roman" w:hAnsi="Times New Roman" w:cs="Times New Roman"/>
          <w:sz w:val="24"/>
          <w:szCs w:val="24"/>
        </w:rPr>
        <w:t>olan kurallar aşağıda verilmiştir.</w:t>
      </w:r>
    </w:p>
    <w:p w:rsidR="008503DF" w:rsidRPr="008503DF" w:rsidRDefault="008503DF" w:rsidP="0085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DF">
        <w:rPr>
          <w:rFonts w:ascii="Times New Roman" w:hAnsi="Times New Roman" w:cs="Times New Roman"/>
          <w:sz w:val="24"/>
          <w:szCs w:val="24"/>
        </w:rPr>
        <w:tab/>
        <w:t>a) Çeşnili ürünlerde kullanılan çeşni ma</w:t>
      </w:r>
      <w:r w:rsidR="004A3A68">
        <w:rPr>
          <w:rFonts w:ascii="Times New Roman" w:hAnsi="Times New Roman" w:cs="Times New Roman"/>
          <w:sz w:val="24"/>
          <w:szCs w:val="24"/>
        </w:rPr>
        <w:t xml:space="preserve">ddesi ve </w:t>
      </w:r>
      <w:proofErr w:type="gramStart"/>
      <w:r w:rsidR="004A3A68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="004A3A68">
        <w:rPr>
          <w:rFonts w:ascii="Times New Roman" w:hAnsi="Times New Roman" w:cs="Times New Roman"/>
          <w:sz w:val="24"/>
          <w:szCs w:val="24"/>
        </w:rPr>
        <w:t xml:space="preserve"> verici ürün adı ile </w:t>
      </w:r>
      <w:r w:rsidRPr="008503DF">
        <w:rPr>
          <w:rFonts w:ascii="Times New Roman" w:hAnsi="Times New Roman" w:cs="Times New Roman"/>
          <w:sz w:val="24"/>
          <w:szCs w:val="24"/>
        </w:rPr>
        <w:t>kul</w:t>
      </w:r>
      <w:r w:rsidR="004A3A68">
        <w:rPr>
          <w:rFonts w:ascii="Times New Roman" w:hAnsi="Times New Roman" w:cs="Times New Roman"/>
          <w:sz w:val="24"/>
          <w:szCs w:val="24"/>
        </w:rPr>
        <w:t>l</w:t>
      </w:r>
      <w:r w:rsidRPr="008503DF">
        <w:rPr>
          <w:rFonts w:ascii="Times New Roman" w:hAnsi="Times New Roman" w:cs="Times New Roman"/>
          <w:sz w:val="24"/>
          <w:szCs w:val="24"/>
        </w:rPr>
        <w:t>anıl</w:t>
      </w:r>
      <w:r w:rsidR="004A3A68">
        <w:rPr>
          <w:rFonts w:ascii="Times New Roman" w:hAnsi="Times New Roman" w:cs="Times New Roman"/>
          <w:sz w:val="24"/>
          <w:szCs w:val="24"/>
        </w:rPr>
        <w:t xml:space="preserve">ır. </w:t>
      </w:r>
      <w:bookmarkStart w:id="0" w:name="_GoBack"/>
      <w:bookmarkEnd w:id="0"/>
      <w:r w:rsidR="004A3A68">
        <w:rPr>
          <w:rFonts w:ascii="Times New Roman" w:hAnsi="Times New Roman" w:cs="Times New Roman"/>
          <w:sz w:val="24"/>
          <w:szCs w:val="24"/>
        </w:rPr>
        <w:t>Bu kurala ek olarak istisnai kurallar aşağıda verilmiştir.</w:t>
      </w:r>
    </w:p>
    <w:p w:rsidR="009D4A61" w:rsidRPr="008503DF" w:rsidRDefault="008503DF" w:rsidP="00850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DF">
        <w:rPr>
          <w:rFonts w:ascii="Times New Roman" w:hAnsi="Times New Roman" w:cs="Times New Roman"/>
          <w:sz w:val="24"/>
          <w:szCs w:val="24"/>
        </w:rPr>
        <w:tab/>
        <w:t>1)</w:t>
      </w:r>
      <w:r w:rsidR="009D4A61" w:rsidRPr="008503DF">
        <w:rPr>
          <w:rFonts w:ascii="Times New Roman" w:hAnsi="Times New Roman" w:cs="Times New Roman"/>
          <w:sz w:val="24"/>
          <w:szCs w:val="24"/>
        </w:rPr>
        <w:t>Ek-1’ de belirtilen çeşni maddelerinin dışında çeşni maddesi kullanılması halinde çeşni maddesini adı ürün adı ile birlikte kullanılır.</w:t>
      </w:r>
    </w:p>
    <w:p w:rsidR="00D5629E" w:rsidRPr="008503DF" w:rsidRDefault="009D4A61" w:rsidP="000C2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3DF">
        <w:rPr>
          <w:rFonts w:ascii="Times New Roman" w:hAnsi="Times New Roman" w:cs="Times New Roman"/>
          <w:sz w:val="24"/>
          <w:szCs w:val="24"/>
        </w:rPr>
        <w:tab/>
      </w:r>
      <w:r w:rsidR="008503DF" w:rsidRPr="008503DF">
        <w:rPr>
          <w:rFonts w:ascii="Times New Roman" w:hAnsi="Times New Roman" w:cs="Times New Roman"/>
          <w:sz w:val="24"/>
          <w:szCs w:val="24"/>
        </w:rPr>
        <w:t>2</w:t>
      </w:r>
      <w:r w:rsidRPr="008503DF">
        <w:rPr>
          <w:rFonts w:ascii="Times New Roman" w:hAnsi="Times New Roman" w:cs="Times New Roman"/>
          <w:sz w:val="24"/>
          <w:szCs w:val="24"/>
        </w:rPr>
        <w:t xml:space="preserve">) </w:t>
      </w:r>
      <w:r w:rsidR="00D5629E" w:rsidRPr="008503DF">
        <w:rPr>
          <w:rFonts w:ascii="Times New Roman" w:hAnsi="Times New Roman" w:cs="Times New Roman"/>
          <w:sz w:val="24"/>
          <w:szCs w:val="24"/>
        </w:rPr>
        <w:t>Çeşnili buzlu ürünlerde kullanılan çeşni</w:t>
      </w:r>
      <w:r w:rsidR="007952A9" w:rsidRPr="008503DF">
        <w:rPr>
          <w:rFonts w:ascii="Times New Roman" w:hAnsi="Times New Roman" w:cs="Times New Roman"/>
          <w:sz w:val="24"/>
          <w:szCs w:val="24"/>
        </w:rPr>
        <w:t xml:space="preserve"> miktarı bu tebliğ ile belirlenen en az değer</w:t>
      </w:r>
      <w:r w:rsidR="00B92BA2" w:rsidRPr="008503DF">
        <w:rPr>
          <w:rFonts w:ascii="Times New Roman" w:hAnsi="Times New Roman" w:cs="Times New Roman"/>
          <w:sz w:val="24"/>
          <w:szCs w:val="24"/>
        </w:rPr>
        <w:t xml:space="preserve"> veya en az değerin</w:t>
      </w:r>
      <w:r w:rsidR="007952A9" w:rsidRPr="008503DF">
        <w:rPr>
          <w:rFonts w:ascii="Times New Roman" w:hAnsi="Times New Roman" w:cs="Times New Roman"/>
          <w:sz w:val="24"/>
          <w:szCs w:val="24"/>
        </w:rPr>
        <w:t xml:space="preserve"> üzerinde kullanılması halinde kullanılan çeşni</w:t>
      </w:r>
      <w:r w:rsidR="00D5629E" w:rsidRPr="008503DF">
        <w:rPr>
          <w:rFonts w:ascii="Times New Roman" w:hAnsi="Times New Roman" w:cs="Times New Roman"/>
          <w:sz w:val="24"/>
          <w:szCs w:val="24"/>
        </w:rPr>
        <w:t xml:space="preserve"> ür</w:t>
      </w:r>
      <w:r w:rsidR="005168F0" w:rsidRPr="008503DF">
        <w:rPr>
          <w:rFonts w:ascii="Times New Roman" w:hAnsi="Times New Roman" w:cs="Times New Roman"/>
          <w:sz w:val="24"/>
          <w:szCs w:val="24"/>
        </w:rPr>
        <w:t>ü</w:t>
      </w:r>
      <w:r w:rsidR="00D5629E" w:rsidRPr="008503DF">
        <w:rPr>
          <w:rFonts w:ascii="Times New Roman" w:hAnsi="Times New Roman" w:cs="Times New Roman"/>
          <w:sz w:val="24"/>
          <w:szCs w:val="24"/>
        </w:rPr>
        <w:t>n adı ile birlikte kullanılır.</w:t>
      </w:r>
    </w:p>
    <w:p w:rsidR="00541E15" w:rsidRPr="008503DF" w:rsidRDefault="008503DF" w:rsidP="000C21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503DF">
        <w:rPr>
          <w:rFonts w:ascii="Times New Roman" w:hAnsi="Times New Roman" w:cs="Times New Roman"/>
          <w:sz w:val="24"/>
          <w:szCs w:val="24"/>
        </w:rPr>
        <w:t>3</w:t>
      </w:r>
      <w:r w:rsidR="000C21CB" w:rsidRPr="008503DF">
        <w:rPr>
          <w:rFonts w:ascii="Times New Roman" w:hAnsi="Times New Roman" w:cs="Times New Roman"/>
          <w:sz w:val="24"/>
          <w:szCs w:val="24"/>
        </w:rPr>
        <w:t xml:space="preserve">) </w:t>
      </w:r>
      <w:r w:rsidR="00541E15" w:rsidRPr="008503DF">
        <w:rPr>
          <w:rFonts w:ascii="Times New Roman" w:hAnsi="Times New Roman" w:cs="Times New Roman"/>
          <w:sz w:val="24"/>
          <w:szCs w:val="24"/>
        </w:rPr>
        <w:t xml:space="preserve">Çeşni maddesi ve </w:t>
      </w:r>
      <w:proofErr w:type="gramStart"/>
      <w:r w:rsidR="00541E15" w:rsidRPr="008503DF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="00541E15" w:rsidRPr="008503DF">
        <w:rPr>
          <w:rFonts w:ascii="Times New Roman" w:hAnsi="Times New Roman" w:cs="Times New Roman"/>
          <w:sz w:val="24"/>
          <w:szCs w:val="24"/>
        </w:rPr>
        <w:t xml:space="preserve"> vericinin birlikte kullanıldığı ürünlerde çeşni miktarının bu tebliğde belirlenen en az miktarın a</w:t>
      </w:r>
      <w:r w:rsidR="007F1695" w:rsidRPr="008503DF">
        <w:rPr>
          <w:rFonts w:ascii="Times New Roman" w:hAnsi="Times New Roman" w:cs="Times New Roman"/>
          <w:sz w:val="24"/>
          <w:szCs w:val="24"/>
        </w:rPr>
        <w:t>l</w:t>
      </w:r>
      <w:r w:rsidR="00541E15" w:rsidRPr="008503DF">
        <w:rPr>
          <w:rFonts w:ascii="Times New Roman" w:hAnsi="Times New Roman" w:cs="Times New Roman"/>
          <w:sz w:val="24"/>
          <w:szCs w:val="24"/>
        </w:rPr>
        <w:t>tında olması halinde kullanılan aroma vericinin adı ürün adı ile birlikte kullanılır.</w:t>
      </w:r>
    </w:p>
    <w:p w:rsidR="000C21CB" w:rsidRPr="008503DF" w:rsidRDefault="00712987" w:rsidP="000C21C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503DF">
        <w:rPr>
          <w:rFonts w:ascii="Times New Roman" w:hAnsi="Times New Roman" w:cs="Times New Roman"/>
          <w:sz w:val="24"/>
          <w:szCs w:val="24"/>
        </w:rPr>
        <w:tab/>
      </w:r>
      <w:r w:rsidR="008503DF" w:rsidRPr="008503DF">
        <w:rPr>
          <w:rFonts w:ascii="Times New Roman" w:hAnsi="Times New Roman" w:cs="Times New Roman"/>
          <w:sz w:val="24"/>
          <w:szCs w:val="24"/>
        </w:rPr>
        <w:t>4</w:t>
      </w:r>
      <w:r w:rsidRPr="008503DF">
        <w:rPr>
          <w:rFonts w:ascii="Times New Roman" w:hAnsi="Times New Roman" w:cs="Times New Roman"/>
          <w:sz w:val="24"/>
          <w:szCs w:val="24"/>
        </w:rPr>
        <w:t>)</w:t>
      </w:r>
      <w:r w:rsidR="00F6683F" w:rsidRPr="008503DF">
        <w:rPr>
          <w:rFonts w:ascii="Times New Roman" w:hAnsi="Times New Roman" w:cs="Times New Roman"/>
          <w:sz w:val="24"/>
          <w:szCs w:val="24"/>
        </w:rPr>
        <w:t xml:space="preserve"> </w:t>
      </w:r>
      <w:r w:rsidR="000C21CB" w:rsidRPr="008503DF">
        <w:rPr>
          <w:rFonts w:ascii="Times New Roman" w:hAnsi="Times New Roman" w:cs="Times New Roman"/>
          <w:sz w:val="24"/>
          <w:szCs w:val="24"/>
        </w:rPr>
        <w:t xml:space="preserve">Çeşnili buzlu ürünlerde kullanılan çeşni miktarı bu tebliğde belirlenen minimum değerde olması koşulu ile ilave olarak </w:t>
      </w:r>
      <w:proofErr w:type="gramStart"/>
      <w:r w:rsidR="000C21CB" w:rsidRPr="008503DF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="000C21CB" w:rsidRPr="008503DF">
        <w:rPr>
          <w:rFonts w:ascii="Times New Roman" w:hAnsi="Times New Roman" w:cs="Times New Roman"/>
          <w:sz w:val="24"/>
          <w:szCs w:val="24"/>
        </w:rPr>
        <w:t xml:space="preserve"> verici kullanılması halinde aroma vericinin adı ürün adında bildirilmesi zorunlu değildir.</w:t>
      </w:r>
    </w:p>
    <w:p w:rsidR="005168F0" w:rsidRPr="00A3228B" w:rsidRDefault="00F6683F" w:rsidP="00F3197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68F0" w:rsidRPr="00A3228B">
        <w:rPr>
          <w:rFonts w:ascii="Times New Roman" w:hAnsi="Times New Roman" w:cs="Times New Roman"/>
          <w:b/>
          <w:bCs/>
          <w:sz w:val="24"/>
          <w:szCs w:val="24"/>
        </w:rPr>
        <w:t>Beslenme ve sağlık beyan</w:t>
      </w:r>
      <w:r w:rsidR="00B92BA2">
        <w:rPr>
          <w:rFonts w:ascii="Times New Roman" w:hAnsi="Times New Roman" w:cs="Times New Roman"/>
          <w:b/>
          <w:bCs/>
          <w:sz w:val="24"/>
          <w:szCs w:val="24"/>
        </w:rPr>
        <w:t>lar</w:t>
      </w:r>
      <w:r w:rsidR="005168F0" w:rsidRPr="00A3228B">
        <w:rPr>
          <w:rFonts w:ascii="Times New Roman" w:hAnsi="Times New Roman" w:cs="Times New Roman"/>
          <w:b/>
          <w:bCs/>
          <w:sz w:val="24"/>
          <w:szCs w:val="24"/>
        </w:rPr>
        <w:t>ı</w:t>
      </w:r>
    </w:p>
    <w:p w:rsidR="005168F0" w:rsidRDefault="005168F0" w:rsidP="005168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2987">
        <w:rPr>
          <w:rFonts w:ascii="Times New Roman" w:hAnsi="Times New Roman" w:cs="Times New Roman"/>
          <w:b/>
          <w:bCs/>
          <w:sz w:val="24"/>
          <w:szCs w:val="24"/>
        </w:rPr>
        <w:t>MADDE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4C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AAF" w:rsidRPr="00184C5C">
        <w:rPr>
          <w:rFonts w:ascii="Times New Roman" w:hAnsi="Times New Roman" w:cs="Times New Roman"/>
          <w:bCs/>
          <w:sz w:val="24"/>
          <w:szCs w:val="24"/>
        </w:rPr>
        <w:t>-</w:t>
      </w:r>
      <w:r w:rsidRPr="00184C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987">
        <w:rPr>
          <w:rFonts w:ascii="Times New Roman" w:hAnsi="Times New Roman" w:cs="Times New Roman"/>
          <w:bCs/>
          <w:sz w:val="24"/>
          <w:szCs w:val="24"/>
        </w:rPr>
        <w:t>(1) Bu Tebliğ kapsamında yer alan ürünler</w:t>
      </w:r>
      <w:r>
        <w:rPr>
          <w:rFonts w:ascii="Times New Roman" w:hAnsi="Times New Roman" w:cs="Times New Roman"/>
          <w:bCs/>
          <w:sz w:val="24"/>
          <w:szCs w:val="24"/>
        </w:rPr>
        <w:t xml:space="preserve">deki beslenme ve sağlık beyanları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712987">
        <w:rPr>
          <w:rFonts w:ascii="Times New Roman" w:hAnsi="Times New Roman" w:cs="Times New Roman"/>
          <w:bCs/>
          <w:sz w:val="24"/>
          <w:szCs w:val="24"/>
        </w:rPr>
        <w:t>/1</w:t>
      </w:r>
      <w:r>
        <w:rPr>
          <w:rFonts w:ascii="Times New Roman" w:hAnsi="Times New Roman" w:cs="Times New Roman"/>
          <w:bCs/>
          <w:sz w:val="24"/>
          <w:szCs w:val="24"/>
        </w:rPr>
        <w:t>/20</w:t>
      </w:r>
      <w:r w:rsidRPr="0071298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tarihli ve 29960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 mükerrer sayılı Resmî </w:t>
      </w:r>
      <w:proofErr w:type="spellStart"/>
      <w:r w:rsidRPr="0071298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Pr="00712987">
        <w:rPr>
          <w:rFonts w:ascii="Times New Roman" w:hAnsi="Times New Roman" w:cs="Times New Roman"/>
          <w:bCs/>
          <w:sz w:val="24"/>
          <w:szCs w:val="24"/>
        </w:rPr>
        <w:t xml:space="preserve"> yayımlanan Türk Gıda Kodeksi </w:t>
      </w:r>
      <w:r>
        <w:rPr>
          <w:rFonts w:ascii="Times New Roman" w:hAnsi="Times New Roman" w:cs="Times New Roman"/>
          <w:bCs/>
          <w:sz w:val="24"/>
          <w:szCs w:val="24"/>
        </w:rPr>
        <w:t>Beslenme ve Sağlık Beyanları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 Yönetmeliğinde yer alan hükümlere uygun olur.</w:t>
      </w:r>
    </w:p>
    <w:p w:rsidR="00854890" w:rsidRPr="00712987" w:rsidRDefault="00854890" w:rsidP="005637D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Taşıma ve depolama</w:t>
      </w:r>
    </w:p>
    <w:p w:rsidR="00712987" w:rsidRPr="00712987" w:rsidRDefault="00854890" w:rsidP="0071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1</w:t>
      </w:r>
      <w:r w:rsidR="00D562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Tebliğ kapsamında yer alan ürünlerin taşınması ve depolanması, Türk Gıda Kodeksi Yönetmeliğinin gıdaların taşınması ve depolanması ile ilgili hükümlerine uyun olur. Bu genel kurallara ek olan kurallar aşağıda verilmiştir:</w:t>
      </w:r>
    </w:p>
    <w:p w:rsidR="00712987" w:rsidRPr="00712987" w:rsidRDefault="00712987" w:rsidP="0071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71AA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A073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4890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 taşınması depolanması ve son tüketiciye arz edilmesi sırasında sıcaklık en yüksek -18 C’de olur.</w:t>
      </w:r>
    </w:p>
    <w:p w:rsidR="00854890" w:rsidRPr="00712987" w:rsidRDefault="00712987" w:rsidP="0056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54890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alma ve analiz metotları</w:t>
      </w:r>
    </w:p>
    <w:p w:rsidR="00854890" w:rsidRDefault="00854890" w:rsidP="0085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="00D562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="00671A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r w:rsidR="007E32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Tebliğ kapsamında yer alan ürünlerden numune alınması ve analizleri, Türk Gıda Kodeksi Yönetmeliğine uygun olur.</w:t>
      </w:r>
    </w:p>
    <w:p w:rsidR="00A87F59" w:rsidRDefault="00A87F59" w:rsidP="00A87F5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629E">
        <w:rPr>
          <w:rFonts w:ascii="Times New Roman" w:hAnsi="Times New Roman" w:cs="Times New Roman"/>
          <w:b/>
          <w:bCs/>
          <w:sz w:val="24"/>
          <w:szCs w:val="24"/>
        </w:rPr>
        <w:t>Vitaminler, Mineraller ve Belirli Diğer Öğeler</w:t>
      </w:r>
    </w:p>
    <w:p w:rsidR="00A87F59" w:rsidRPr="00A87F59" w:rsidRDefault="00A87F59" w:rsidP="00A87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629E">
        <w:rPr>
          <w:rFonts w:ascii="Times New Roman" w:hAnsi="Times New Roman" w:cs="Times New Roman"/>
          <w:b/>
          <w:sz w:val="24"/>
          <w:szCs w:val="24"/>
        </w:rPr>
        <w:t>MADDE 16</w:t>
      </w:r>
      <w:r w:rsidRPr="00D56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629E">
        <w:rPr>
          <w:rFonts w:ascii="Times New Roman" w:hAnsi="Times New Roman" w:cs="Times New Roman"/>
          <w:sz w:val="24"/>
          <w:szCs w:val="24"/>
        </w:rPr>
        <w:t xml:space="preserve"> </w:t>
      </w:r>
      <w:r w:rsidRPr="00FF75EA">
        <w:rPr>
          <w:rFonts w:ascii="Times New Roman" w:hAnsi="Times New Roman" w:cs="Times New Roman"/>
          <w:sz w:val="24"/>
          <w:szCs w:val="24"/>
        </w:rPr>
        <w:t>(1)</w:t>
      </w:r>
      <w:r w:rsidRPr="00D5629E">
        <w:rPr>
          <w:rFonts w:ascii="Times New Roman" w:hAnsi="Times New Roman" w:cs="Times New Roman"/>
          <w:sz w:val="24"/>
          <w:szCs w:val="24"/>
        </w:rPr>
        <w:t xml:space="preserve"> Bu Tebliğ kapsamında yer alan ürünlerin üretiminde kullanılacak vitaminler, mineraller ve belirli diğer öğelerin eklenmesi hususunda </w:t>
      </w:r>
      <w:proofErr w:type="gramStart"/>
      <w:r w:rsidRPr="00D5629E">
        <w:rPr>
          <w:rFonts w:ascii="Times New Roman" w:hAnsi="Times New Roman" w:cs="Times New Roman"/>
          <w:sz w:val="24"/>
          <w:szCs w:val="24"/>
        </w:rPr>
        <w:t>07/3/2017</w:t>
      </w:r>
      <w:proofErr w:type="gramEnd"/>
      <w:r w:rsidRPr="00D5629E">
        <w:rPr>
          <w:rFonts w:ascii="Times New Roman" w:hAnsi="Times New Roman" w:cs="Times New Roman"/>
          <w:sz w:val="24"/>
          <w:szCs w:val="24"/>
        </w:rPr>
        <w:t xml:space="preserve"> tarih</w:t>
      </w:r>
      <w:r>
        <w:rPr>
          <w:rFonts w:ascii="Times New Roman" w:hAnsi="Times New Roman" w:cs="Times New Roman"/>
          <w:sz w:val="24"/>
          <w:szCs w:val="24"/>
        </w:rPr>
        <w:t xml:space="preserve">li ve 30000 sayılı Resmî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</w:t>
      </w:r>
      <w:r w:rsidRPr="00D5629E">
        <w:rPr>
          <w:rFonts w:ascii="Times New Roman" w:hAnsi="Times New Roman" w:cs="Times New Roman"/>
          <w:sz w:val="24"/>
          <w:szCs w:val="24"/>
        </w:rPr>
        <w:t>‘de</w:t>
      </w:r>
      <w:proofErr w:type="spellEnd"/>
      <w:r w:rsidRPr="00D5629E">
        <w:rPr>
          <w:rFonts w:ascii="Times New Roman" w:hAnsi="Times New Roman" w:cs="Times New Roman"/>
          <w:sz w:val="24"/>
          <w:szCs w:val="24"/>
        </w:rPr>
        <w:t xml:space="preserve"> yayımlanan Türk Gıda Kodeksi Gıdalara Vitaminler, Mineraller ve Belirli Diğer Öğelerin Eklenmesi Hakkında Yönetmelik yer alan hükümlere uygun olur.</w:t>
      </w:r>
    </w:p>
    <w:p w:rsidR="00A87F59" w:rsidRPr="00A87F59" w:rsidRDefault="00A87F59" w:rsidP="00A87F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87F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Gıdalarda Kullanılabilecek Bitkiler, Mantarlar, Algler, Likenler ve Bunların Preparatları</w:t>
      </w:r>
    </w:p>
    <w:p w:rsidR="00A87F59" w:rsidRPr="00A87F59" w:rsidRDefault="00A87F59" w:rsidP="00A87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87F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18</w:t>
      </w:r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(1) Bu tebliğ kapsamında yer alan ürünlerde kullanılacak bitkiler, mantarlar, algler, likenler ve bunların preparatları, </w:t>
      </w:r>
      <w:proofErr w:type="gramStart"/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 ve …… </w:t>
      </w:r>
      <w:proofErr w:type="gramStart"/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</w:t>
      </w:r>
      <w:proofErr w:type="spellStart"/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</w:t>
      </w:r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Türk Gıda Kodeksi Gıdalarda Kullanılabilecek Bitkiler, Mantarlar, Algler, Likenler ve Bunların Preparatları Yönetmeliğine uygun olur.</w:t>
      </w:r>
    </w:p>
    <w:p w:rsidR="00A87F59" w:rsidRPr="00712987" w:rsidRDefault="00A87F59" w:rsidP="00A87F5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712987">
        <w:rPr>
          <w:rFonts w:ascii="Times New Roman" w:eastAsia="Calibri" w:hAnsi="Times New Roman" w:cs="Times New Roman"/>
          <w:b/>
          <w:bCs/>
          <w:sz w:val="24"/>
          <w:szCs w:val="24"/>
        </w:rPr>
        <w:t>Koksidiyostat</w:t>
      </w:r>
      <w:proofErr w:type="spellEnd"/>
      <w:r w:rsidRPr="007129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Pr="00712987">
        <w:rPr>
          <w:rFonts w:ascii="Times New Roman" w:eastAsia="Calibri" w:hAnsi="Times New Roman" w:cs="Times New Roman"/>
          <w:b/>
          <w:bCs/>
          <w:sz w:val="24"/>
          <w:szCs w:val="24"/>
        </w:rPr>
        <w:t>Histomonostat</w:t>
      </w:r>
      <w:proofErr w:type="spellEnd"/>
      <w:r w:rsidRPr="007129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Kalıntıları </w:t>
      </w:r>
    </w:p>
    <w:p w:rsidR="00A87F59" w:rsidRDefault="00A87F59" w:rsidP="00A87F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2987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MADDE 8</w:t>
      </w:r>
      <w:r w:rsidRPr="00184C5C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Pr="00A07393">
        <w:rPr>
          <w:rFonts w:ascii="Times New Roman" w:eastAsia="Calibri" w:hAnsi="Times New Roman" w:cs="Times New Roman"/>
          <w:bCs/>
          <w:sz w:val="24"/>
          <w:szCs w:val="24"/>
        </w:rPr>
        <w:t xml:space="preserve"> (1)</w:t>
      </w:r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 Bu Tebliğ kapsamında yer alan ürünlerdeki </w:t>
      </w:r>
      <w:proofErr w:type="spellStart"/>
      <w:r w:rsidRPr="00712987">
        <w:rPr>
          <w:rFonts w:ascii="Times New Roman" w:eastAsia="Calibri" w:hAnsi="Times New Roman" w:cs="Times New Roman"/>
          <w:bCs/>
          <w:sz w:val="24"/>
          <w:szCs w:val="24"/>
        </w:rPr>
        <w:t>koksidiyostatların</w:t>
      </w:r>
      <w:proofErr w:type="spellEnd"/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 ve </w:t>
      </w:r>
      <w:proofErr w:type="spellStart"/>
      <w:r w:rsidRPr="00712987">
        <w:rPr>
          <w:rFonts w:ascii="Times New Roman" w:eastAsia="Calibri" w:hAnsi="Times New Roman" w:cs="Times New Roman"/>
          <w:bCs/>
          <w:sz w:val="24"/>
          <w:szCs w:val="24"/>
        </w:rPr>
        <w:t>histomonostatların</w:t>
      </w:r>
      <w:proofErr w:type="spellEnd"/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 miktarları </w:t>
      </w:r>
      <w:proofErr w:type="gramStart"/>
      <w:r w:rsidRPr="00712987">
        <w:rPr>
          <w:rFonts w:ascii="Times New Roman" w:eastAsia="Calibri" w:hAnsi="Times New Roman" w:cs="Times New Roman"/>
          <w:bCs/>
          <w:sz w:val="24"/>
          <w:szCs w:val="24"/>
        </w:rPr>
        <w:t>8/2/2015</w:t>
      </w:r>
      <w:proofErr w:type="gramEnd"/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  tarihli ve  29261 sayılı Resmî </w:t>
      </w:r>
      <w:proofErr w:type="spellStart"/>
      <w:r w:rsidRPr="00712987">
        <w:rPr>
          <w:rFonts w:ascii="Times New Roman" w:eastAsia="Calibri" w:hAnsi="Times New Roman" w:cs="Times New Roman"/>
          <w:bCs/>
          <w:sz w:val="24"/>
          <w:szCs w:val="24"/>
        </w:rPr>
        <w:t>Gazete’de</w:t>
      </w:r>
      <w:proofErr w:type="spellEnd"/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 yayımlanan TGK-Hedef Dışı Yemlere Taşınması Önlenemeyen </w:t>
      </w:r>
      <w:proofErr w:type="spellStart"/>
      <w:r w:rsidRPr="00712987">
        <w:rPr>
          <w:rFonts w:ascii="Times New Roman" w:eastAsia="Calibri" w:hAnsi="Times New Roman" w:cs="Times New Roman"/>
          <w:bCs/>
          <w:sz w:val="24"/>
          <w:szCs w:val="24"/>
        </w:rPr>
        <w:t>Koksidiyostatların</w:t>
      </w:r>
      <w:proofErr w:type="spellEnd"/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 Ve </w:t>
      </w:r>
      <w:proofErr w:type="spellStart"/>
      <w:r w:rsidRPr="00712987">
        <w:rPr>
          <w:rFonts w:ascii="Times New Roman" w:eastAsia="Calibri" w:hAnsi="Times New Roman" w:cs="Times New Roman"/>
          <w:bCs/>
          <w:sz w:val="24"/>
          <w:szCs w:val="24"/>
        </w:rPr>
        <w:t>Histomonostatların</w:t>
      </w:r>
      <w:proofErr w:type="spellEnd"/>
      <w:r w:rsidRPr="00712987">
        <w:rPr>
          <w:rFonts w:ascii="Times New Roman" w:eastAsia="Calibri" w:hAnsi="Times New Roman" w:cs="Times New Roman"/>
          <w:bCs/>
          <w:sz w:val="24"/>
          <w:szCs w:val="24"/>
        </w:rPr>
        <w:t xml:space="preserve"> Hayvansal Gıdalardaki Maksimum Miktarları Hakkında Yönetmelik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987">
        <w:rPr>
          <w:rFonts w:ascii="Times New Roman" w:eastAsia="Calibri" w:hAnsi="Times New Roman" w:cs="Times New Roman"/>
          <w:bCs/>
          <w:sz w:val="24"/>
          <w:szCs w:val="24"/>
        </w:rPr>
        <w:t>hükümlerine uygun olur.</w:t>
      </w:r>
    </w:p>
    <w:p w:rsidR="00A87F59" w:rsidRPr="00A87F59" w:rsidRDefault="00A87F59" w:rsidP="00A87F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87F5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87F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Birliğine bildirim</w:t>
      </w:r>
    </w:p>
    <w:p w:rsidR="00A87F59" w:rsidRPr="00A87F59" w:rsidRDefault="00A87F59" w:rsidP="00A87F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87F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20</w:t>
      </w:r>
      <w:r w:rsidRPr="00A87F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- (1) Bu Tebliğ </w:t>
      </w:r>
      <w:proofErr w:type="gramStart"/>
      <w:r w:rsidRPr="00A87F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3/4/2002</w:t>
      </w:r>
      <w:proofErr w:type="gramEnd"/>
      <w:r w:rsidRPr="00A87F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24714 sayılı Resmî </w:t>
      </w:r>
      <w:proofErr w:type="spellStart"/>
      <w:r w:rsidRPr="00A87F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Gazete’de</w:t>
      </w:r>
      <w:proofErr w:type="spellEnd"/>
      <w:r w:rsidRPr="00A87F5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yayımlanan Teknik Mevzuatın ve Standartların Türkiye ile Avrupa Birliği Arasında Bildirimine Dair Yönetmelik hükümlerine göre Avrupa Birliği Komisyonuna bildirilmiştir.</w:t>
      </w:r>
    </w:p>
    <w:p w:rsidR="00A87F59" w:rsidRDefault="00A87F59" w:rsidP="00A87F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6F30" w:rsidRPr="00896F30" w:rsidRDefault="00896F30" w:rsidP="0089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96F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 BÖLÜM</w:t>
      </w:r>
    </w:p>
    <w:p w:rsidR="00896F30" w:rsidRPr="00896F30" w:rsidRDefault="00896F30" w:rsidP="0089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96F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Çeşitli ve Son Hükümler</w:t>
      </w:r>
    </w:p>
    <w:p w:rsidR="00995498" w:rsidRPr="00712987" w:rsidRDefault="00995498" w:rsidP="00896F3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İdari yaptırım</w:t>
      </w:r>
    </w:p>
    <w:p w:rsidR="00995498" w:rsidRPr="00712987" w:rsidRDefault="00995498" w:rsidP="0099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1</w:t>
      </w:r>
      <w:r w:rsidR="00D562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671AAF" w:rsidRPr="00184C5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 Bu Tebliğe aykırı davrananlar hakkında </w:t>
      </w:r>
      <w:proofErr w:type="gramStart"/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11/6/2010</w:t>
      </w:r>
      <w:proofErr w:type="gramEnd"/>
      <w:r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5996 sayılı Veteriner Hizmetleri, Bitki Sağlığı, Gıda ve Yem Kanununun ilgili maddelerine göre idari yaptırım uygulanır.</w:t>
      </w:r>
    </w:p>
    <w:p w:rsidR="00995498" w:rsidRPr="00712987" w:rsidRDefault="00995498" w:rsidP="007129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987">
        <w:rPr>
          <w:rFonts w:ascii="Times New Roman" w:hAnsi="Times New Roman" w:cs="Times New Roman"/>
          <w:b/>
          <w:bCs/>
          <w:sz w:val="24"/>
          <w:szCs w:val="24"/>
        </w:rPr>
        <w:tab/>
        <w:t>Yürürlükten kaldırılan tebliğ</w:t>
      </w:r>
    </w:p>
    <w:p w:rsidR="00712987" w:rsidRPr="00712987" w:rsidRDefault="00D5629E" w:rsidP="007129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MADDE 20</w:t>
      </w:r>
      <w:r w:rsidR="00995498" w:rsidRPr="00184C5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95498" w:rsidRPr="007E32A6">
        <w:rPr>
          <w:rFonts w:ascii="Times New Roman" w:hAnsi="Times New Roman" w:cs="Times New Roman"/>
          <w:bCs/>
          <w:sz w:val="24"/>
          <w:szCs w:val="24"/>
        </w:rPr>
        <w:t xml:space="preserve"> (1)</w:t>
      </w:r>
      <w:r w:rsidR="00995498" w:rsidRPr="00712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07B40">
        <w:rPr>
          <w:rFonts w:ascii="Times New Roman" w:hAnsi="Times New Roman" w:cs="Times New Roman"/>
          <w:bCs/>
          <w:sz w:val="24"/>
          <w:szCs w:val="24"/>
        </w:rPr>
        <w:t>7</w:t>
      </w:r>
      <w:r w:rsidR="00995498" w:rsidRPr="00712987">
        <w:rPr>
          <w:rFonts w:ascii="Times New Roman" w:hAnsi="Times New Roman" w:cs="Times New Roman"/>
          <w:bCs/>
          <w:sz w:val="24"/>
          <w:szCs w:val="24"/>
        </w:rPr>
        <w:t>/1</w:t>
      </w:r>
      <w:r w:rsidR="00807B40">
        <w:rPr>
          <w:rFonts w:ascii="Times New Roman" w:hAnsi="Times New Roman" w:cs="Times New Roman"/>
          <w:bCs/>
          <w:sz w:val="24"/>
          <w:szCs w:val="24"/>
        </w:rPr>
        <w:t>0</w:t>
      </w:r>
      <w:r w:rsidR="00995498" w:rsidRPr="00712987">
        <w:rPr>
          <w:rFonts w:ascii="Times New Roman" w:hAnsi="Times New Roman" w:cs="Times New Roman"/>
          <w:bCs/>
          <w:sz w:val="24"/>
          <w:szCs w:val="24"/>
        </w:rPr>
        <w:t>/2005</w:t>
      </w:r>
      <w:proofErr w:type="gramEnd"/>
      <w:r w:rsidR="00995498" w:rsidRPr="00712987">
        <w:rPr>
          <w:rFonts w:ascii="Times New Roman" w:hAnsi="Times New Roman" w:cs="Times New Roman"/>
          <w:bCs/>
          <w:sz w:val="24"/>
          <w:szCs w:val="24"/>
        </w:rPr>
        <w:t xml:space="preserve"> tarihli ve 25</w:t>
      </w:r>
      <w:r w:rsidR="00807B40">
        <w:rPr>
          <w:rFonts w:ascii="Times New Roman" w:hAnsi="Times New Roman" w:cs="Times New Roman"/>
          <w:bCs/>
          <w:sz w:val="24"/>
          <w:szCs w:val="24"/>
        </w:rPr>
        <w:t>959</w:t>
      </w:r>
      <w:r w:rsidR="00995498" w:rsidRPr="00712987">
        <w:rPr>
          <w:rFonts w:ascii="Times New Roman" w:hAnsi="Times New Roman" w:cs="Times New Roman"/>
          <w:bCs/>
          <w:sz w:val="24"/>
          <w:szCs w:val="24"/>
        </w:rPr>
        <w:t xml:space="preserve"> sayılı Resmî </w:t>
      </w:r>
      <w:proofErr w:type="spellStart"/>
      <w:r w:rsidR="00995498" w:rsidRPr="0071298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="00995498" w:rsidRPr="00712987">
        <w:rPr>
          <w:rFonts w:ascii="Times New Roman" w:hAnsi="Times New Roman" w:cs="Times New Roman"/>
          <w:bCs/>
          <w:sz w:val="24"/>
          <w:szCs w:val="24"/>
        </w:rPr>
        <w:t xml:space="preserve"> yayımlanan Türk Gıda Kodeksi </w:t>
      </w:r>
      <w:r w:rsidR="00807B40">
        <w:rPr>
          <w:rFonts w:ascii="Times New Roman" w:hAnsi="Times New Roman" w:cs="Times New Roman"/>
          <w:bCs/>
          <w:sz w:val="24"/>
          <w:szCs w:val="24"/>
        </w:rPr>
        <w:t>Yenilebilir Buzlu Ürünler Tebliği (Tebliğ No: 2005</w:t>
      </w:r>
      <w:r w:rsidR="00995498" w:rsidRPr="00712987">
        <w:rPr>
          <w:rFonts w:ascii="Times New Roman" w:hAnsi="Times New Roman" w:cs="Times New Roman"/>
          <w:bCs/>
          <w:sz w:val="24"/>
          <w:szCs w:val="24"/>
        </w:rPr>
        <w:t>/4</w:t>
      </w:r>
      <w:r w:rsidR="00807B40">
        <w:rPr>
          <w:rFonts w:ascii="Times New Roman" w:hAnsi="Times New Roman" w:cs="Times New Roman"/>
          <w:bCs/>
          <w:sz w:val="24"/>
          <w:szCs w:val="24"/>
        </w:rPr>
        <w:t>3</w:t>
      </w:r>
      <w:r w:rsidR="00995498" w:rsidRPr="00712987">
        <w:rPr>
          <w:rFonts w:ascii="Times New Roman" w:hAnsi="Times New Roman" w:cs="Times New Roman"/>
          <w:bCs/>
          <w:sz w:val="24"/>
          <w:szCs w:val="24"/>
        </w:rPr>
        <w:t>) yürürlükten kaldırılmıştır.</w:t>
      </w:r>
    </w:p>
    <w:p w:rsidR="00995498" w:rsidRPr="00712987" w:rsidRDefault="00712987" w:rsidP="005637D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987">
        <w:rPr>
          <w:rFonts w:ascii="Times New Roman" w:hAnsi="Times New Roman" w:cs="Times New Roman"/>
          <w:bCs/>
          <w:sz w:val="24"/>
          <w:szCs w:val="24"/>
        </w:rPr>
        <w:tab/>
      </w:r>
      <w:r w:rsidR="00995498" w:rsidRPr="00712987">
        <w:rPr>
          <w:rFonts w:ascii="Times New Roman" w:hAnsi="Times New Roman" w:cs="Times New Roman"/>
          <w:b/>
          <w:bCs/>
          <w:sz w:val="24"/>
          <w:szCs w:val="24"/>
        </w:rPr>
        <w:t>Uyum zorunluluğu</w:t>
      </w:r>
    </w:p>
    <w:p w:rsidR="00995498" w:rsidRPr="00712987" w:rsidRDefault="00995498" w:rsidP="0071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87">
        <w:rPr>
          <w:rFonts w:ascii="Times New Roman" w:hAnsi="Times New Roman" w:cs="Times New Roman"/>
          <w:b/>
          <w:bCs/>
          <w:sz w:val="24"/>
          <w:szCs w:val="24"/>
        </w:rPr>
        <w:tab/>
        <w:t>GEÇİCİ MADDE 1</w:t>
      </w:r>
      <w:r w:rsidRPr="00184C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AAF" w:rsidRPr="00184C5C">
        <w:rPr>
          <w:rFonts w:ascii="Times New Roman" w:hAnsi="Times New Roman" w:cs="Times New Roman"/>
          <w:bCs/>
          <w:sz w:val="24"/>
          <w:szCs w:val="24"/>
        </w:rPr>
        <w:t>-</w:t>
      </w:r>
      <w:r w:rsidRPr="007E32A6">
        <w:rPr>
          <w:rFonts w:ascii="Times New Roman" w:hAnsi="Times New Roman" w:cs="Times New Roman"/>
          <w:bCs/>
          <w:sz w:val="24"/>
          <w:szCs w:val="24"/>
        </w:rPr>
        <w:t xml:space="preserve"> (1)</w:t>
      </w:r>
      <w:r w:rsidRPr="00712987">
        <w:rPr>
          <w:rFonts w:ascii="Times New Roman" w:hAnsi="Times New Roman" w:cs="Times New Roman"/>
          <w:sz w:val="24"/>
          <w:szCs w:val="24"/>
        </w:rPr>
        <w:t xml:space="preserve"> Bu Tebliğin yayımı tarihinden önce faaliyet göstermekte olan gıda işletmecileri </w:t>
      </w:r>
      <w:proofErr w:type="gramStart"/>
      <w:r w:rsidRPr="00712987">
        <w:rPr>
          <w:rFonts w:ascii="Times New Roman" w:hAnsi="Times New Roman" w:cs="Times New Roman"/>
          <w:sz w:val="24"/>
          <w:szCs w:val="24"/>
        </w:rPr>
        <w:t>31/12/2019</w:t>
      </w:r>
      <w:proofErr w:type="gramEnd"/>
      <w:r w:rsidRPr="00712987">
        <w:rPr>
          <w:rFonts w:ascii="Times New Roman" w:hAnsi="Times New Roman" w:cs="Times New Roman"/>
          <w:sz w:val="24"/>
          <w:szCs w:val="24"/>
        </w:rPr>
        <w:t xml:space="preserve"> tarihine kadar bu tebliğ hükümlerine uymak zorundadır. </w:t>
      </w:r>
      <w:proofErr w:type="gramStart"/>
      <w:r w:rsidRPr="00712987">
        <w:rPr>
          <w:rFonts w:ascii="Times New Roman" w:hAnsi="Times New Roman" w:cs="Times New Roman"/>
          <w:sz w:val="24"/>
          <w:szCs w:val="24"/>
        </w:rPr>
        <w:t>31/12/2019</w:t>
      </w:r>
      <w:proofErr w:type="gramEnd"/>
      <w:r w:rsidRPr="00712987">
        <w:rPr>
          <w:rFonts w:ascii="Times New Roman" w:hAnsi="Times New Roman" w:cs="Times New Roman"/>
          <w:sz w:val="24"/>
          <w:szCs w:val="24"/>
        </w:rPr>
        <w:t xml:space="preserve"> tarihinden önce etiketlenen veya piyasaya arz edilen gıdalar raf ömrü sonuna kadar piyasada bulunabilir.</w:t>
      </w:r>
    </w:p>
    <w:p w:rsidR="00A85044" w:rsidRPr="00712987" w:rsidRDefault="00995498" w:rsidP="005637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987">
        <w:rPr>
          <w:rFonts w:ascii="Times New Roman" w:hAnsi="Times New Roman" w:cs="Times New Roman"/>
          <w:sz w:val="24"/>
          <w:szCs w:val="24"/>
        </w:rPr>
        <w:tab/>
      </w:r>
      <w:r w:rsidR="007E32A6">
        <w:rPr>
          <w:rFonts w:ascii="Times New Roman" w:hAnsi="Times New Roman" w:cs="Times New Roman"/>
          <w:bCs/>
          <w:sz w:val="24"/>
          <w:szCs w:val="24"/>
        </w:rPr>
        <w:t>(</w:t>
      </w:r>
      <w:r w:rsidRPr="00712987">
        <w:rPr>
          <w:rFonts w:ascii="Times New Roman" w:hAnsi="Times New Roman" w:cs="Times New Roman"/>
          <w:bCs/>
          <w:sz w:val="24"/>
          <w:szCs w:val="24"/>
        </w:rPr>
        <w:t>2) Bu Tebliğ kapsamında faaliyet gösteren gıda işletmecileri; birinci fıkr</w:t>
      </w:r>
      <w:r w:rsidR="00D5629E">
        <w:rPr>
          <w:rFonts w:ascii="Times New Roman" w:hAnsi="Times New Roman" w:cs="Times New Roman"/>
          <w:bCs/>
          <w:sz w:val="24"/>
          <w:szCs w:val="24"/>
        </w:rPr>
        <w:t>a hükümlerini karşılayana kadar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07B40">
        <w:rPr>
          <w:rFonts w:ascii="Times New Roman" w:hAnsi="Times New Roman" w:cs="Times New Roman"/>
          <w:bCs/>
          <w:sz w:val="24"/>
          <w:szCs w:val="24"/>
        </w:rPr>
        <w:t>7</w:t>
      </w:r>
      <w:r w:rsidR="00807B40" w:rsidRPr="00712987">
        <w:rPr>
          <w:rFonts w:ascii="Times New Roman" w:hAnsi="Times New Roman" w:cs="Times New Roman"/>
          <w:bCs/>
          <w:sz w:val="24"/>
          <w:szCs w:val="24"/>
        </w:rPr>
        <w:t>/1</w:t>
      </w:r>
      <w:r w:rsidR="00807B40">
        <w:rPr>
          <w:rFonts w:ascii="Times New Roman" w:hAnsi="Times New Roman" w:cs="Times New Roman"/>
          <w:bCs/>
          <w:sz w:val="24"/>
          <w:szCs w:val="24"/>
        </w:rPr>
        <w:t>0</w:t>
      </w:r>
      <w:r w:rsidR="00807B40" w:rsidRPr="00712987">
        <w:rPr>
          <w:rFonts w:ascii="Times New Roman" w:hAnsi="Times New Roman" w:cs="Times New Roman"/>
          <w:bCs/>
          <w:sz w:val="24"/>
          <w:szCs w:val="24"/>
        </w:rPr>
        <w:t>/2005</w:t>
      </w:r>
      <w:proofErr w:type="gramEnd"/>
      <w:r w:rsidR="00807B40" w:rsidRPr="00712987">
        <w:rPr>
          <w:rFonts w:ascii="Times New Roman" w:hAnsi="Times New Roman" w:cs="Times New Roman"/>
          <w:bCs/>
          <w:sz w:val="24"/>
          <w:szCs w:val="24"/>
        </w:rPr>
        <w:t xml:space="preserve"> tarihli ve 25</w:t>
      </w:r>
      <w:r w:rsidR="00807B40">
        <w:rPr>
          <w:rFonts w:ascii="Times New Roman" w:hAnsi="Times New Roman" w:cs="Times New Roman"/>
          <w:bCs/>
          <w:sz w:val="24"/>
          <w:szCs w:val="24"/>
        </w:rPr>
        <w:t>959</w:t>
      </w:r>
      <w:r w:rsidR="00807B40" w:rsidRPr="0071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sayılı Resmî </w:t>
      </w:r>
      <w:proofErr w:type="spellStart"/>
      <w:r w:rsidRPr="00712987">
        <w:rPr>
          <w:rFonts w:ascii="Times New Roman" w:hAnsi="Times New Roman" w:cs="Times New Roman"/>
          <w:bCs/>
          <w:sz w:val="24"/>
          <w:szCs w:val="24"/>
        </w:rPr>
        <w:t>Gazete’de</w:t>
      </w:r>
      <w:proofErr w:type="spellEnd"/>
      <w:r w:rsidRPr="00712987">
        <w:rPr>
          <w:rFonts w:ascii="Times New Roman" w:hAnsi="Times New Roman" w:cs="Times New Roman"/>
          <w:bCs/>
          <w:sz w:val="24"/>
          <w:szCs w:val="24"/>
        </w:rPr>
        <w:t xml:space="preserve"> yayımlanan Türk Gıda Kodeksi </w:t>
      </w:r>
      <w:r w:rsidR="00807B40">
        <w:rPr>
          <w:rFonts w:ascii="Times New Roman" w:hAnsi="Times New Roman" w:cs="Times New Roman"/>
          <w:bCs/>
          <w:sz w:val="24"/>
          <w:szCs w:val="24"/>
        </w:rPr>
        <w:t>Yenilebilir Buzlu Ürünler</w:t>
      </w:r>
      <w:r w:rsidRPr="00712987">
        <w:rPr>
          <w:rFonts w:ascii="Times New Roman" w:hAnsi="Times New Roman" w:cs="Times New Roman"/>
          <w:bCs/>
          <w:sz w:val="24"/>
          <w:szCs w:val="24"/>
        </w:rPr>
        <w:t xml:space="preserve"> Tebliği (Tebliğ No: </w:t>
      </w:r>
      <w:r w:rsidR="00807B40">
        <w:rPr>
          <w:rFonts w:ascii="Times New Roman" w:hAnsi="Times New Roman" w:cs="Times New Roman"/>
          <w:bCs/>
          <w:sz w:val="24"/>
          <w:szCs w:val="24"/>
        </w:rPr>
        <w:t>2005</w:t>
      </w:r>
      <w:r w:rsidR="00807B40" w:rsidRPr="00712987">
        <w:rPr>
          <w:rFonts w:ascii="Times New Roman" w:hAnsi="Times New Roman" w:cs="Times New Roman"/>
          <w:bCs/>
          <w:sz w:val="24"/>
          <w:szCs w:val="24"/>
        </w:rPr>
        <w:t>/4</w:t>
      </w:r>
      <w:r w:rsidR="00807B40">
        <w:rPr>
          <w:rFonts w:ascii="Times New Roman" w:hAnsi="Times New Roman" w:cs="Times New Roman"/>
          <w:bCs/>
          <w:sz w:val="24"/>
          <w:szCs w:val="24"/>
        </w:rPr>
        <w:t>3</w:t>
      </w:r>
      <w:r w:rsidRPr="00712987">
        <w:rPr>
          <w:rFonts w:ascii="Times New Roman" w:hAnsi="Times New Roman" w:cs="Times New Roman"/>
          <w:bCs/>
          <w:sz w:val="24"/>
          <w:szCs w:val="24"/>
        </w:rPr>
        <w:t>) hükümlerine uymak zorundadır.</w:t>
      </w:r>
    </w:p>
    <w:p w:rsidR="00A85044" w:rsidRPr="00712987" w:rsidRDefault="00A85044" w:rsidP="005637DF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hAnsi="Times New Roman" w:cs="Times New Roman"/>
          <w:bCs/>
          <w:sz w:val="24"/>
          <w:szCs w:val="24"/>
        </w:rPr>
        <w:tab/>
      </w:r>
      <w:r w:rsidR="0098713A"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98713A" w:rsidRPr="00712987" w:rsidRDefault="00A85044" w:rsidP="00A850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D562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21</w:t>
      </w:r>
      <w:r w:rsidR="0098713A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E32A6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="00712987" w:rsidRPr="007E32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(1)</w:t>
      </w:r>
      <w:r w:rsidR="007E32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8713A" w:rsidRPr="00712987">
        <w:rPr>
          <w:rFonts w:ascii="Times New Roman" w:eastAsia="Times New Roman" w:hAnsi="Times New Roman" w:cs="Times New Roman"/>
          <w:sz w:val="24"/>
          <w:szCs w:val="24"/>
          <w:lang w:eastAsia="tr-TR"/>
        </w:rPr>
        <w:t>Bu Tebliğ yayımı tarihinde yürürlüğe girer.</w:t>
      </w:r>
    </w:p>
    <w:p w:rsidR="00A85044" w:rsidRPr="00712987" w:rsidRDefault="00A85044" w:rsidP="00A850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Yürütme</w:t>
      </w:r>
    </w:p>
    <w:p w:rsidR="00A85044" w:rsidRPr="00712987" w:rsidRDefault="00A85044" w:rsidP="00A8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MADDE 2</w:t>
      </w:r>
      <w:r w:rsidR="00D562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7E32A6" w:rsidRPr="00184C5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-</w:t>
      </w:r>
      <w:r w:rsidRPr="007E32A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(1)</w:t>
      </w:r>
      <w:r w:rsidRPr="0071298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71298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 Tebliğ hükümlerini Gıda, Tarım ve Hayvancılık Bakanı yürütür.</w:t>
      </w:r>
    </w:p>
    <w:p w:rsidR="0098713A" w:rsidRDefault="0098713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75EA" w:rsidRDefault="00FF75EA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C178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1788" w:rsidRDefault="009C1788" w:rsidP="009C1788">
      <w:pPr>
        <w:shd w:val="clear" w:color="auto" w:fill="FFFFFF"/>
        <w:spacing w:after="0" w:line="240" w:lineRule="atLeast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Ek-1 (Ürün Özellikleri)</w:t>
      </w:r>
    </w:p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498"/>
        <w:gridCol w:w="3311"/>
        <w:gridCol w:w="1289"/>
        <w:gridCol w:w="1418"/>
        <w:gridCol w:w="1276"/>
        <w:gridCol w:w="1275"/>
        <w:gridCol w:w="1276"/>
      </w:tblGrid>
      <w:tr w:rsidR="009C1788" w:rsidTr="00633083">
        <w:trPr>
          <w:trHeight w:val="298"/>
          <w:jc w:val="center"/>
        </w:trPr>
        <w:tc>
          <w:tcPr>
            <w:tcW w:w="3809" w:type="dxa"/>
            <w:gridSpan w:val="2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 Krem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Çeşnili Buz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Sorbe</w:t>
            </w:r>
            <w:proofErr w:type="spellEnd"/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Buzu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Sütlü Buz</w:t>
            </w:r>
          </w:p>
        </w:tc>
      </w:tr>
      <w:tr w:rsidR="009C1788" w:rsidTr="00633083">
        <w:trPr>
          <w:trHeight w:val="298"/>
          <w:jc w:val="center"/>
        </w:trPr>
        <w:tc>
          <w:tcPr>
            <w:tcW w:w="3809" w:type="dxa"/>
            <w:gridSpan w:val="2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uru maddesi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ağırlıkça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%12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%12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%12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88" w:rsidTr="00633083">
        <w:trPr>
          <w:trHeight w:val="298"/>
          <w:jc w:val="center"/>
        </w:trPr>
        <w:tc>
          <w:tcPr>
            <w:tcW w:w="3809" w:type="dxa"/>
            <w:gridSpan w:val="2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Süt yağı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ağırlıkça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</w:t>
            </w:r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%2,5</w:t>
            </w:r>
          </w:p>
        </w:tc>
      </w:tr>
      <w:tr w:rsidR="009C1788" w:rsidTr="00633083">
        <w:trPr>
          <w:trHeight w:val="316"/>
          <w:jc w:val="center"/>
        </w:trPr>
        <w:tc>
          <w:tcPr>
            <w:tcW w:w="3809" w:type="dxa"/>
            <w:gridSpan w:val="2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Yağsız süt kuru maddesi </w:t>
            </w:r>
            <w:r w:rsidR="00704E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704E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ağırlıkça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Pr="00C3458D" w:rsidRDefault="009C1788" w:rsidP="002703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%6</w:t>
            </w:r>
          </w:p>
        </w:tc>
      </w:tr>
      <w:tr w:rsidR="009C1788" w:rsidTr="00633083">
        <w:trPr>
          <w:trHeight w:val="298"/>
          <w:jc w:val="center"/>
        </w:trPr>
        <w:tc>
          <w:tcPr>
            <w:tcW w:w="3809" w:type="dxa"/>
            <w:gridSpan w:val="2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Süt proteini içeriği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ağırlıkça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%2,2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C1788" w:rsidTr="00633083">
        <w:trPr>
          <w:trHeight w:val="400"/>
          <w:jc w:val="center"/>
        </w:trPr>
        <w:tc>
          <w:tcPr>
            <w:tcW w:w="3809" w:type="dxa"/>
            <w:gridSpan w:val="2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itkisel yağ ve/veya süt yağı ve/veya yumurta yağını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ağırlıkça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%5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C1788" w:rsidTr="00633083">
        <w:trPr>
          <w:trHeight w:val="298"/>
          <w:jc w:val="center"/>
        </w:trPr>
        <w:tc>
          <w:tcPr>
            <w:tcW w:w="498" w:type="dxa"/>
            <w:vMerge w:val="restart"/>
            <w:textDirection w:val="btLr"/>
            <w:vAlign w:val="center"/>
          </w:tcPr>
          <w:p w:rsidR="009C1788" w:rsidRDefault="009C1788" w:rsidP="002703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Çeşni Maddesi</w:t>
            </w:r>
          </w:p>
        </w:tc>
        <w:tc>
          <w:tcPr>
            <w:tcW w:w="3311" w:type="dxa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Meyve miktarı (ağırlıkça 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%6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en</w:t>
            </w:r>
            <w:proofErr w:type="gramEnd"/>
            <w:r w:rsidRPr="00C345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az %15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az %25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%6</w:t>
            </w:r>
          </w:p>
        </w:tc>
      </w:tr>
      <w:tr w:rsidR="009C1788" w:rsidTr="00633083">
        <w:trPr>
          <w:trHeight w:val="396"/>
          <w:jc w:val="center"/>
        </w:trPr>
        <w:tc>
          <w:tcPr>
            <w:tcW w:w="498" w:type="dxa"/>
            <w:vMerge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C1788" w:rsidRDefault="009C1788" w:rsidP="007F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ebze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miktarı (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oğun </w:t>
            </w:r>
            <w:proofErr w:type="gramStart"/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</w:t>
            </w:r>
            <w:proofErr w:type="gramEnd"/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kıvamlı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hariç)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(ağırlıkça %)</w:t>
            </w:r>
          </w:p>
        </w:tc>
        <w:tc>
          <w:tcPr>
            <w:tcW w:w="1289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%15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az %25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</w:tr>
      <w:tr w:rsidR="009C1788" w:rsidTr="00633083">
        <w:trPr>
          <w:trHeight w:val="454"/>
          <w:jc w:val="center"/>
        </w:trPr>
        <w:tc>
          <w:tcPr>
            <w:tcW w:w="498" w:type="dxa"/>
            <w:vMerge/>
          </w:tcPr>
          <w:p w:rsidR="009C1788" w:rsidRPr="00712987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>Limon, mandalina, portakal ve greyfurt gibi narenciye grubu meyve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miktarı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>ağırlıkça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9C1788" w:rsidRPr="00C261E6" w:rsidRDefault="009C1788" w:rsidP="0027034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%10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%15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Pr="00C261E6" w:rsidRDefault="009C1788" w:rsidP="00270341">
            <w:pPr>
              <w:rPr>
                <w:color w:val="00B0F0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</w:tr>
      <w:tr w:rsidR="009C1788" w:rsidTr="00633083">
        <w:trPr>
          <w:trHeight w:val="588"/>
          <w:jc w:val="center"/>
        </w:trPr>
        <w:tc>
          <w:tcPr>
            <w:tcW w:w="498" w:type="dxa"/>
            <w:vMerge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%2,5 oranında s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>itrik asit cinsinden titre edilebilir asitlik bulunduran meyve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 ve meyve suyu karışım miktarı </w:t>
            </w:r>
            <w:r w:rsidR="00704E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(ağırlıkça %)</w:t>
            </w:r>
          </w:p>
        </w:tc>
        <w:tc>
          <w:tcPr>
            <w:tcW w:w="1289" w:type="dxa"/>
            <w:vAlign w:val="center"/>
          </w:tcPr>
          <w:p w:rsidR="009C1788" w:rsidRPr="00C261E6" w:rsidRDefault="009C1788" w:rsidP="0027034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%10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%15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Pr="00C261E6" w:rsidRDefault="009C1788" w:rsidP="00270341">
            <w:pPr>
              <w:rPr>
                <w:color w:val="00B0F0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</w:tr>
      <w:tr w:rsidR="009C1788" w:rsidTr="00633083">
        <w:trPr>
          <w:trHeight w:val="433"/>
          <w:jc w:val="center"/>
        </w:trPr>
        <w:tc>
          <w:tcPr>
            <w:tcW w:w="498" w:type="dxa"/>
            <w:vMerge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ropik ve özel meyve ilaveli meyveli buzlarda, meyve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(ağırlıkça %)</w:t>
            </w:r>
          </w:p>
        </w:tc>
        <w:tc>
          <w:tcPr>
            <w:tcW w:w="1289" w:type="dxa"/>
            <w:vAlign w:val="center"/>
          </w:tcPr>
          <w:p w:rsidR="009C1788" w:rsidRPr="00C261E6" w:rsidRDefault="009C1788" w:rsidP="0027034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%10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%15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Pr="00C261E6" w:rsidRDefault="009C1788" w:rsidP="00270341">
            <w:pPr>
              <w:rPr>
                <w:color w:val="00B0F0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</w:tr>
      <w:tr w:rsidR="009C1788" w:rsidTr="00633083">
        <w:trPr>
          <w:trHeight w:val="588"/>
          <w:jc w:val="center"/>
        </w:trPr>
        <w:tc>
          <w:tcPr>
            <w:tcW w:w="498" w:type="dxa"/>
            <w:vMerge/>
          </w:tcPr>
          <w:p w:rsidR="009C1788" w:rsidRDefault="009C1788" w:rsidP="0027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1" w:type="dxa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ereviz, bal kabağı, kırmızı ve yeşil biber, şalgam, turp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gibi y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oğun </w:t>
            </w:r>
            <w:proofErr w:type="gramStart"/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</w:t>
            </w:r>
            <w:proofErr w:type="gramEnd"/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kıvamlı sebze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(ağırlıkça %)</w:t>
            </w:r>
          </w:p>
        </w:tc>
        <w:tc>
          <w:tcPr>
            <w:tcW w:w="1289" w:type="dxa"/>
            <w:vAlign w:val="center"/>
          </w:tcPr>
          <w:p w:rsidR="009C1788" w:rsidRPr="00C261E6" w:rsidRDefault="009C1788" w:rsidP="0027034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  <w:tc>
          <w:tcPr>
            <w:tcW w:w="1418" w:type="dxa"/>
            <w:vAlign w:val="center"/>
          </w:tcPr>
          <w:p w:rsidR="009C1788" w:rsidRDefault="009C1788" w:rsidP="00270341">
            <w:proofErr w:type="gramStart"/>
            <w:r w:rsidRPr="00BA28F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BA28F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%10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en</w:t>
            </w:r>
            <w:proofErr w:type="gramEnd"/>
            <w:r w:rsidRPr="00C3458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az %1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788" w:rsidRPr="00C261E6" w:rsidRDefault="009C1788" w:rsidP="0027034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%4</w:t>
            </w:r>
          </w:p>
        </w:tc>
      </w:tr>
      <w:tr w:rsidR="009C1788" w:rsidTr="00633083">
        <w:trPr>
          <w:trHeight w:val="350"/>
          <w:jc w:val="center"/>
        </w:trPr>
        <w:tc>
          <w:tcPr>
            <w:tcW w:w="498" w:type="dxa"/>
            <w:vMerge/>
          </w:tcPr>
          <w:p w:rsidR="009C1788" w:rsidRDefault="009C1788" w:rsidP="0027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C1788" w:rsidRDefault="009C1788" w:rsidP="0027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7129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 kabuklu meyve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  <w:r w:rsidRPr="007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(ağırlıkça %) </w:t>
            </w:r>
          </w:p>
        </w:tc>
        <w:tc>
          <w:tcPr>
            <w:tcW w:w="1289" w:type="dxa"/>
            <w:vAlign w:val="center"/>
          </w:tcPr>
          <w:p w:rsidR="009C1788" w:rsidRPr="00C261E6" w:rsidRDefault="009C1788" w:rsidP="0027034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%5</w:t>
            </w:r>
          </w:p>
        </w:tc>
        <w:tc>
          <w:tcPr>
            <w:tcW w:w="1418" w:type="dxa"/>
            <w:vAlign w:val="center"/>
          </w:tcPr>
          <w:p w:rsidR="009C1788" w:rsidRPr="00C261E6" w:rsidRDefault="009C1788" w:rsidP="0027034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%5</w:t>
            </w:r>
          </w:p>
        </w:tc>
        <w:tc>
          <w:tcPr>
            <w:tcW w:w="1276" w:type="dxa"/>
            <w:vAlign w:val="center"/>
          </w:tcPr>
          <w:p w:rsidR="009C1788" w:rsidRDefault="009C1788" w:rsidP="00270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%7</w:t>
            </w:r>
          </w:p>
        </w:tc>
        <w:tc>
          <w:tcPr>
            <w:tcW w:w="1275" w:type="dxa"/>
            <w:vAlign w:val="center"/>
          </w:tcPr>
          <w:p w:rsidR="009C1788" w:rsidRPr="00C261E6" w:rsidRDefault="009C1788" w:rsidP="0027034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</w:t>
            </w:r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%5</w:t>
            </w:r>
          </w:p>
        </w:tc>
        <w:tc>
          <w:tcPr>
            <w:tcW w:w="1276" w:type="dxa"/>
            <w:vAlign w:val="center"/>
          </w:tcPr>
          <w:p w:rsidR="009C1788" w:rsidRPr="00C261E6" w:rsidRDefault="009C1788" w:rsidP="0027034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gramStart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>en</w:t>
            </w:r>
            <w:proofErr w:type="gramEnd"/>
            <w:r w:rsidRPr="00C261E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tr-TR"/>
              </w:rPr>
              <w:t xml:space="preserve"> az %5</w:t>
            </w:r>
          </w:p>
        </w:tc>
      </w:tr>
    </w:tbl>
    <w:p w:rsidR="009C1788" w:rsidRPr="00712987" w:rsidRDefault="009C1788" w:rsidP="0098713A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9C1788" w:rsidRPr="007129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71" w:rsidRDefault="00AD5471" w:rsidP="00AD5471">
      <w:pPr>
        <w:spacing w:after="0" w:line="240" w:lineRule="auto"/>
      </w:pPr>
      <w:r>
        <w:separator/>
      </w:r>
    </w:p>
  </w:endnote>
  <w:endnote w:type="continuationSeparator" w:id="0">
    <w:p w:rsidR="00AD5471" w:rsidRDefault="00AD5471" w:rsidP="00AD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004941"/>
      <w:docPartObj>
        <w:docPartGallery w:val="Page Numbers (Bottom of Page)"/>
        <w:docPartUnique/>
      </w:docPartObj>
    </w:sdtPr>
    <w:sdtEndPr/>
    <w:sdtContent>
      <w:p w:rsidR="00AD5471" w:rsidRDefault="00AD547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FB1">
          <w:rPr>
            <w:noProof/>
          </w:rPr>
          <w:t>5</w:t>
        </w:r>
        <w:r>
          <w:fldChar w:fldCharType="end"/>
        </w:r>
      </w:p>
    </w:sdtContent>
  </w:sdt>
  <w:p w:rsidR="00AD5471" w:rsidRDefault="00AD54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71" w:rsidRDefault="00AD5471" w:rsidP="00AD5471">
      <w:pPr>
        <w:spacing w:after="0" w:line="240" w:lineRule="auto"/>
      </w:pPr>
      <w:r>
        <w:separator/>
      </w:r>
    </w:p>
  </w:footnote>
  <w:footnote w:type="continuationSeparator" w:id="0">
    <w:p w:rsidR="00AD5471" w:rsidRDefault="00AD5471" w:rsidP="00AD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5D9"/>
    <w:multiLevelType w:val="hybridMultilevel"/>
    <w:tmpl w:val="4C8C1A34"/>
    <w:lvl w:ilvl="0" w:tplc="417230FA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E5A06"/>
    <w:multiLevelType w:val="hybridMultilevel"/>
    <w:tmpl w:val="232A6C38"/>
    <w:lvl w:ilvl="0" w:tplc="1D14F4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CD6428"/>
    <w:multiLevelType w:val="hybridMultilevel"/>
    <w:tmpl w:val="F32EC8BA"/>
    <w:lvl w:ilvl="0" w:tplc="D6CA9A6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FC18A3"/>
    <w:multiLevelType w:val="hybridMultilevel"/>
    <w:tmpl w:val="393AF15E"/>
    <w:lvl w:ilvl="0" w:tplc="06D2224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5E81D14"/>
    <w:multiLevelType w:val="hybridMultilevel"/>
    <w:tmpl w:val="FED855BC"/>
    <w:lvl w:ilvl="0" w:tplc="B43294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0974C5"/>
    <w:multiLevelType w:val="hybridMultilevel"/>
    <w:tmpl w:val="BC4A104E"/>
    <w:lvl w:ilvl="0" w:tplc="A5E60C9A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5130D79"/>
    <w:multiLevelType w:val="hybridMultilevel"/>
    <w:tmpl w:val="C186E820"/>
    <w:lvl w:ilvl="0" w:tplc="CA383BC0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0D4D15"/>
    <w:multiLevelType w:val="hybridMultilevel"/>
    <w:tmpl w:val="ECE23380"/>
    <w:lvl w:ilvl="0" w:tplc="417230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0951FA"/>
    <w:multiLevelType w:val="hybridMultilevel"/>
    <w:tmpl w:val="2D3A97DA"/>
    <w:lvl w:ilvl="0" w:tplc="E8BE71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9E1AB0"/>
    <w:multiLevelType w:val="hybridMultilevel"/>
    <w:tmpl w:val="31EA396A"/>
    <w:lvl w:ilvl="0" w:tplc="417230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A8C5049"/>
    <w:multiLevelType w:val="hybridMultilevel"/>
    <w:tmpl w:val="5F387244"/>
    <w:lvl w:ilvl="0" w:tplc="C1FEAB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A76168"/>
    <w:multiLevelType w:val="hybridMultilevel"/>
    <w:tmpl w:val="90F0C204"/>
    <w:lvl w:ilvl="0" w:tplc="DB10A2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E"/>
    <w:rsid w:val="00006E54"/>
    <w:rsid w:val="0002194E"/>
    <w:rsid w:val="00032004"/>
    <w:rsid w:val="00077718"/>
    <w:rsid w:val="000833FD"/>
    <w:rsid w:val="00092C5B"/>
    <w:rsid w:val="00095C29"/>
    <w:rsid w:val="000A55B8"/>
    <w:rsid w:val="000B7D36"/>
    <w:rsid w:val="000C21CB"/>
    <w:rsid w:val="000D7443"/>
    <w:rsid w:val="000E0EEE"/>
    <w:rsid w:val="000E1CF6"/>
    <w:rsid w:val="00106899"/>
    <w:rsid w:val="001113D3"/>
    <w:rsid w:val="001120FD"/>
    <w:rsid w:val="00114D2C"/>
    <w:rsid w:val="00140197"/>
    <w:rsid w:val="00142488"/>
    <w:rsid w:val="00170C7E"/>
    <w:rsid w:val="001724E1"/>
    <w:rsid w:val="00184C5C"/>
    <w:rsid w:val="00197CE7"/>
    <w:rsid w:val="001B6C76"/>
    <w:rsid w:val="001C117D"/>
    <w:rsid w:val="001C7792"/>
    <w:rsid w:val="001D3094"/>
    <w:rsid w:val="001D3A61"/>
    <w:rsid w:val="001D4A63"/>
    <w:rsid w:val="001D587A"/>
    <w:rsid w:val="001E4D5A"/>
    <w:rsid w:val="001E7679"/>
    <w:rsid w:val="001F5B1E"/>
    <w:rsid w:val="0021272A"/>
    <w:rsid w:val="00233439"/>
    <w:rsid w:val="0025068B"/>
    <w:rsid w:val="00261AEF"/>
    <w:rsid w:val="002752F5"/>
    <w:rsid w:val="002A497B"/>
    <w:rsid w:val="002B5634"/>
    <w:rsid w:val="002E5E4E"/>
    <w:rsid w:val="002F76C7"/>
    <w:rsid w:val="003100B2"/>
    <w:rsid w:val="00316E37"/>
    <w:rsid w:val="00330D54"/>
    <w:rsid w:val="00347D4D"/>
    <w:rsid w:val="003745B2"/>
    <w:rsid w:val="0038103D"/>
    <w:rsid w:val="0039527D"/>
    <w:rsid w:val="003971C1"/>
    <w:rsid w:val="003E7076"/>
    <w:rsid w:val="00401D94"/>
    <w:rsid w:val="00435CF2"/>
    <w:rsid w:val="004412C8"/>
    <w:rsid w:val="0044143E"/>
    <w:rsid w:val="004556A7"/>
    <w:rsid w:val="004625E1"/>
    <w:rsid w:val="00482B77"/>
    <w:rsid w:val="004869B9"/>
    <w:rsid w:val="004A3A68"/>
    <w:rsid w:val="004B5DC1"/>
    <w:rsid w:val="004C3F83"/>
    <w:rsid w:val="00505637"/>
    <w:rsid w:val="0050682B"/>
    <w:rsid w:val="00514D26"/>
    <w:rsid w:val="00515918"/>
    <w:rsid w:val="005159EC"/>
    <w:rsid w:val="005168F0"/>
    <w:rsid w:val="00540291"/>
    <w:rsid w:val="00541E15"/>
    <w:rsid w:val="0055449C"/>
    <w:rsid w:val="0055474E"/>
    <w:rsid w:val="0055703C"/>
    <w:rsid w:val="005637DF"/>
    <w:rsid w:val="00571B20"/>
    <w:rsid w:val="00577CB5"/>
    <w:rsid w:val="0058092C"/>
    <w:rsid w:val="0058533C"/>
    <w:rsid w:val="005A05A1"/>
    <w:rsid w:val="005A74D7"/>
    <w:rsid w:val="005B5577"/>
    <w:rsid w:val="005D4CA2"/>
    <w:rsid w:val="006033B6"/>
    <w:rsid w:val="00607D16"/>
    <w:rsid w:val="00633083"/>
    <w:rsid w:val="00635611"/>
    <w:rsid w:val="00635F15"/>
    <w:rsid w:val="00671AAF"/>
    <w:rsid w:val="006737B6"/>
    <w:rsid w:val="00685B4C"/>
    <w:rsid w:val="00687496"/>
    <w:rsid w:val="00697B99"/>
    <w:rsid w:val="006A168A"/>
    <w:rsid w:val="006A316D"/>
    <w:rsid w:val="006C1EAF"/>
    <w:rsid w:val="006D4E77"/>
    <w:rsid w:val="006E5087"/>
    <w:rsid w:val="007015E1"/>
    <w:rsid w:val="00704E01"/>
    <w:rsid w:val="00707BFF"/>
    <w:rsid w:val="00712987"/>
    <w:rsid w:val="0072151F"/>
    <w:rsid w:val="00723E3A"/>
    <w:rsid w:val="00726614"/>
    <w:rsid w:val="00737476"/>
    <w:rsid w:val="00753BB4"/>
    <w:rsid w:val="00754DBF"/>
    <w:rsid w:val="0077089D"/>
    <w:rsid w:val="007846CC"/>
    <w:rsid w:val="00795203"/>
    <w:rsid w:val="007952A9"/>
    <w:rsid w:val="00796D5C"/>
    <w:rsid w:val="007B086C"/>
    <w:rsid w:val="007B1061"/>
    <w:rsid w:val="007B17E1"/>
    <w:rsid w:val="007C0774"/>
    <w:rsid w:val="007C7DB3"/>
    <w:rsid w:val="007D20E9"/>
    <w:rsid w:val="007D4AA4"/>
    <w:rsid w:val="007E12A0"/>
    <w:rsid w:val="007E32A6"/>
    <w:rsid w:val="007E7886"/>
    <w:rsid w:val="007F1695"/>
    <w:rsid w:val="00807B40"/>
    <w:rsid w:val="00830ACB"/>
    <w:rsid w:val="00831248"/>
    <w:rsid w:val="008368CC"/>
    <w:rsid w:val="00844FB1"/>
    <w:rsid w:val="008503DF"/>
    <w:rsid w:val="0085105A"/>
    <w:rsid w:val="00854890"/>
    <w:rsid w:val="00855ADD"/>
    <w:rsid w:val="00855C03"/>
    <w:rsid w:val="00856873"/>
    <w:rsid w:val="00856C0F"/>
    <w:rsid w:val="00866F66"/>
    <w:rsid w:val="00872677"/>
    <w:rsid w:val="00873235"/>
    <w:rsid w:val="00876D4A"/>
    <w:rsid w:val="00877B15"/>
    <w:rsid w:val="00885868"/>
    <w:rsid w:val="008917C9"/>
    <w:rsid w:val="00896F30"/>
    <w:rsid w:val="008A5EE6"/>
    <w:rsid w:val="008A7BB2"/>
    <w:rsid w:val="008B4757"/>
    <w:rsid w:val="008B60B7"/>
    <w:rsid w:val="008D0EFB"/>
    <w:rsid w:val="008D49DF"/>
    <w:rsid w:val="009119AF"/>
    <w:rsid w:val="00922FBE"/>
    <w:rsid w:val="00925690"/>
    <w:rsid w:val="00936E79"/>
    <w:rsid w:val="009410EC"/>
    <w:rsid w:val="00943D68"/>
    <w:rsid w:val="00954139"/>
    <w:rsid w:val="0096212D"/>
    <w:rsid w:val="009622F1"/>
    <w:rsid w:val="009642D5"/>
    <w:rsid w:val="009662DE"/>
    <w:rsid w:val="0097216D"/>
    <w:rsid w:val="009751A4"/>
    <w:rsid w:val="0098713A"/>
    <w:rsid w:val="00994146"/>
    <w:rsid w:val="00995498"/>
    <w:rsid w:val="009B3CAA"/>
    <w:rsid w:val="009C0DA9"/>
    <w:rsid w:val="009C1788"/>
    <w:rsid w:val="009D2B74"/>
    <w:rsid w:val="009D4A61"/>
    <w:rsid w:val="009F34D5"/>
    <w:rsid w:val="009F65F1"/>
    <w:rsid w:val="00A027D0"/>
    <w:rsid w:val="00A07393"/>
    <w:rsid w:val="00A3228B"/>
    <w:rsid w:val="00A44459"/>
    <w:rsid w:val="00A47D6C"/>
    <w:rsid w:val="00A73A4D"/>
    <w:rsid w:val="00A85044"/>
    <w:rsid w:val="00A87F59"/>
    <w:rsid w:val="00AB1248"/>
    <w:rsid w:val="00AB6F3D"/>
    <w:rsid w:val="00AD3FE1"/>
    <w:rsid w:val="00AD40DC"/>
    <w:rsid w:val="00AD5471"/>
    <w:rsid w:val="00AF59E3"/>
    <w:rsid w:val="00B0371D"/>
    <w:rsid w:val="00B1279C"/>
    <w:rsid w:val="00B30F75"/>
    <w:rsid w:val="00B92BA2"/>
    <w:rsid w:val="00B94710"/>
    <w:rsid w:val="00BA04F1"/>
    <w:rsid w:val="00BA1D11"/>
    <w:rsid w:val="00BB56E0"/>
    <w:rsid w:val="00BD4057"/>
    <w:rsid w:val="00BD6B4D"/>
    <w:rsid w:val="00BE45AA"/>
    <w:rsid w:val="00BE7222"/>
    <w:rsid w:val="00BF0031"/>
    <w:rsid w:val="00BF4DDD"/>
    <w:rsid w:val="00BF5BD9"/>
    <w:rsid w:val="00C45D71"/>
    <w:rsid w:val="00C50D5C"/>
    <w:rsid w:val="00C53CC8"/>
    <w:rsid w:val="00C55E16"/>
    <w:rsid w:val="00C67587"/>
    <w:rsid w:val="00C86D3D"/>
    <w:rsid w:val="00CB680F"/>
    <w:rsid w:val="00CD45AF"/>
    <w:rsid w:val="00CE1CCB"/>
    <w:rsid w:val="00D105A2"/>
    <w:rsid w:val="00D17CCA"/>
    <w:rsid w:val="00D5483C"/>
    <w:rsid w:val="00D5629E"/>
    <w:rsid w:val="00D56ABC"/>
    <w:rsid w:val="00D64116"/>
    <w:rsid w:val="00D65B15"/>
    <w:rsid w:val="00D67304"/>
    <w:rsid w:val="00D72835"/>
    <w:rsid w:val="00D950A7"/>
    <w:rsid w:val="00D956AD"/>
    <w:rsid w:val="00DC0D93"/>
    <w:rsid w:val="00DC3646"/>
    <w:rsid w:val="00DC7E93"/>
    <w:rsid w:val="00DD4030"/>
    <w:rsid w:val="00DF1320"/>
    <w:rsid w:val="00E17415"/>
    <w:rsid w:val="00E4171B"/>
    <w:rsid w:val="00E66909"/>
    <w:rsid w:val="00E8049F"/>
    <w:rsid w:val="00E84055"/>
    <w:rsid w:val="00E91A0D"/>
    <w:rsid w:val="00E965D7"/>
    <w:rsid w:val="00EB19F5"/>
    <w:rsid w:val="00EB435F"/>
    <w:rsid w:val="00EC0503"/>
    <w:rsid w:val="00ED3B84"/>
    <w:rsid w:val="00ED6C02"/>
    <w:rsid w:val="00F20474"/>
    <w:rsid w:val="00F22206"/>
    <w:rsid w:val="00F31975"/>
    <w:rsid w:val="00F46961"/>
    <w:rsid w:val="00F653D9"/>
    <w:rsid w:val="00F6683F"/>
    <w:rsid w:val="00F711F8"/>
    <w:rsid w:val="00F76790"/>
    <w:rsid w:val="00F823CC"/>
    <w:rsid w:val="00FB5643"/>
    <w:rsid w:val="00FD2041"/>
    <w:rsid w:val="00FE0509"/>
    <w:rsid w:val="00FE27D3"/>
    <w:rsid w:val="00FE3416"/>
    <w:rsid w:val="00FF386E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B62A-0ED5-482B-89C1-A2B581D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8713A"/>
  </w:style>
  <w:style w:type="table" w:customStyle="1" w:styleId="TabloKlavuzu1">
    <w:name w:val="Tablo Kılavuzu1"/>
    <w:basedOn w:val="NormalTablo"/>
    <w:next w:val="TabloKlavuzu"/>
    <w:uiPriority w:val="59"/>
    <w:rsid w:val="008B6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B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0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548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5471"/>
  </w:style>
  <w:style w:type="paragraph" w:styleId="Altbilgi">
    <w:name w:val="footer"/>
    <w:basedOn w:val="Normal"/>
    <w:link w:val="AltbilgiChar"/>
    <w:uiPriority w:val="99"/>
    <w:unhideWhenUsed/>
    <w:rsid w:val="00AD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D5F0-3DDF-4673-B261-FBF5F335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GUNGOR</dc:creator>
  <cp:lastModifiedBy>Cengiz ALPSOY</cp:lastModifiedBy>
  <cp:revision>18</cp:revision>
  <cp:lastPrinted>2017-08-15T06:59:00Z</cp:lastPrinted>
  <dcterms:created xsi:type="dcterms:W3CDTF">2017-09-08T07:07:00Z</dcterms:created>
  <dcterms:modified xsi:type="dcterms:W3CDTF">2017-10-02T07:06:00Z</dcterms:modified>
</cp:coreProperties>
</file>